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22" w:rsidRPr="00752822" w:rsidRDefault="00752822" w:rsidP="00752822">
      <w:pPr>
        <w:spacing w:after="0" w:line="240" w:lineRule="auto"/>
        <w:jc w:val="center"/>
        <w:rPr>
          <w:rFonts w:ascii="Times New Roman" w:eastAsia="Times New Roman" w:hAnsi="Times New Roman" w:cs="Times New Roman"/>
          <w:b/>
          <w:sz w:val="28"/>
          <w:szCs w:val="28"/>
          <w:lang w:eastAsia="ru-RU"/>
        </w:rPr>
      </w:pPr>
      <w:r w:rsidRPr="00752822">
        <w:rPr>
          <w:rFonts w:ascii="Times New Roman" w:eastAsia="Times New Roman" w:hAnsi="Times New Roman" w:cs="Times New Roman"/>
          <w:b/>
          <w:sz w:val="28"/>
          <w:szCs w:val="28"/>
          <w:lang w:eastAsia="ru-RU"/>
        </w:rPr>
        <w:t>Содержание научно-исследовательской работы в 1 семестре</w:t>
      </w:r>
    </w:p>
    <w:p w:rsidR="00752822" w:rsidRPr="00752822" w:rsidRDefault="00752822" w:rsidP="00752822">
      <w:pPr>
        <w:spacing w:after="0" w:line="240" w:lineRule="auto"/>
        <w:jc w:val="center"/>
        <w:rPr>
          <w:rFonts w:ascii="Times New Roman" w:eastAsia="Times New Roman" w:hAnsi="Times New Roman" w:cs="Times New Roman"/>
          <w:b/>
          <w:sz w:val="28"/>
          <w:szCs w:val="28"/>
          <w:lang w:eastAsia="ru-RU"/>
        </w:rPr>
      </w:pP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1169"/>
        <w:gridCol w:w="8216"/>
      </w:tblGrid>
      <w:tr w:rsidR="00752822" w:rsidRPr="00752822" w:rsidTr="00FD51BC">
        <w:trPr>
          <w:tblCellSpacing w:w="0" w:type="dxa"/>
        </w:trPr>
        <w:tc>
          <w:tcPr>
            <w:tcW w:w="0" w:type="auto"/>
            <w:tcMar>
              <w:top w:w="0" w:type="dxa"/>
              <w:left w:w="0" w:type="dxa"/>
              <w:bottom w:w="0" w:type="dxa"/>
              <w:right w:w="0" w:type="dxa"/>
            </w:tcMar>
            <w:vAlign w:val="center"/>
          </w:tcPr>
          <w:p w:rsidR="00752822" w:rsidRPr="00752822" w:rsidRDefault="00752822" w:rsidP="00752822">
            <w:pPr>
              <w:spacing w:after="0" w:line="240" w:lineRule="auto"/>
              <w:jc w:val="center"/>
              <w:rPr>
                <w:rFonts w:ascii="Times New Roman" w:eastAsia="Times New Roman" w:hAnsi="Times New Roman" w:cs="Times New Roman"/>
                <w:sz w:val="28"/>
                <w:szCs w:val="28"/>
                <w:lang w:eastAsia="ru-RU"/>
              </w:rPr>
            </w:pPr>
            <w:r w:rsidRPr="00752822">
              <w:rPr>
                <w:rFonts w:ascii="Times New Roman" w:eastAsia="Times New Roman" w:hAnsi="Times New Roman" w:cs="Times New Roman"/>
                <w:b/>
                <w:bCs/>
                <w:sz w:val="28"/>
                <w:szCs w:val="28"/>
                <w:lang w:eastAsia="ru-RU"/>
              </w:rPr>
              <w:t>№ раздела (этапа)</w:t>
            </w:r>
          </w:p>
        </w:tc>
        <w:tc>
          <w:tcPr>
            <w:tcW w:w="4377" w:type="pct"/>
            <w:tcMar>
              <w:top w:w="0" w:type="dxa"/>
              <w:left w:w="0" w:type="dxa"/>
              <w:bottom w:w="0" w:type="dxa"/>
              <w:right w:w="0" w:type="dxa"/>
            </w:tcMar>
            <w:vAlign w:val="center"/>
          </w:tcPr>
          <w:p w:rsidR="00752822" w:rsidRPr="00752822" w:rsidRDefault="00752822" w:rsidP="00752822">
            <w:pPr>
              <w:spacing w:after="0" w:line="240" w:lineRule="auto"/>
              <w:jc w:val="center"/>
              <w:rPr>
                <w:rFonts w:ascii="Times New Roman" w:eastAsia="Times New Roman" w:hAnsi="Times New Roman" w:cs="Times New Roman"/>
                <w:sz w:val="28"/>
                <w:szCs w:val="28"/>
                <w:lang w:eastAsia="ru-RU"/>
              </w:rPr>
            </w:pPr>
            <w:r w:rsidRPr="00752822">
              <w:rPr>
                <w:rFonts w:ascii="Times New Roman" w:eastAsia="Times New Roman" w:hAnsi="Times New Roman" w:cs="Times New Roman"/>
                <w:b/>
                <w:bCs/>
                <w:sz w:val="28"/>
                <w:szCs w:val="28"/>
                <w:lang w:eastAsia="ru-RU"/>
              </w:rPr>
              <w:t xml:space="preserve">Наименование или краткое содержание вида работ </w:t>
            </w:r>
          </w:p>
        </w:tc>
      </w:tr>
      <w:tr w:rsidR="00752822" w:rsidRPr="00752822" w:rsidTr="00FD51BC">
        <w:trPr>
          <w:tblCellSpacing w:w="0" w:type="dxa"/>
        </w:trPr>
        <w:tc>
          <w:tcPr>
            <w:tcW w:w="0" w:type="auto"/>
            <w:tcMar>
              <w:top w:w="0" w:type="dxa"/>
              <w:left w:w="0" w:type="dxa"/>
              <w:bottom w:w="0" w:type="dxa"/>
              <w:right w:w="0" w:type="dxa"/>
            </w:tcMar>
            <w:vAlign w:val="center"/>
          </w:tcPr>
          <w:p w:rsidR="00752822" w:rsidRPr="00752822" w:rsidRDefault="00752822" w:rsidP="00752822">
            <w:pPr>
              <w:spacing w:after="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1</w:t>
            </w:r>
          </w:p>
        </w:tc>
        <w:tc>
          <w:tcPr>
            <w:tcW w:w="4377" w:type="pct"/>
            <w:tcMar>
              <w:top w:w="0" w:type="dxa"/>
              <w:left w:w="0" w:type="dxa"/>
              <w:bottom w:w="0" w:type="dxa"/>
              <w:right w:w="0" w:type="dxa"/>
            </w:tcMar>
            <w:vAlign w:val="center"/>
          </w:tcPr>
          <w:p w:rsidR="00752822" w:rsidRPr="00752822" w:rsidRDefault="00752822" w:rsidP="00752822">
            <w:pPr>
              <w:spacing w:after="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 xml:space="preserve"> Перед началом НИР проводится собрание, на котором студентам сообщается вся необходимая информация по проведению научно-исследовательской работы, а также выдается индивидуальное задание от руководителя практики от  кафедры</w:t>
            </w:r>
          </w:p>
        </w:tc>
      </w:tr>
      <w:tr w:rsidR="00752822" w:rsidRPr="00752822" w:rsidTr="00FD51BC">
        <w:trPr>
          <w:tblCellSpacing w:w="0" w:type="dxa"/>
        </w:trPr>
        <w:tc>
          <w:tcPr>
            <w:tcW w:w="0" w:type="auto"/>
            <w:tcMar>
              <w:top w:w="0" w:type="dxa"/>
              <w:left w:w="0" w:type="dxa"/>
              <w:bottom w:w="0" w:type="dxa"/>
              <w:right w:w="0" w:type="dxa"/>
            </w:tcMar>
            <w:vAlign w:val="center"/>
          </w:tcPr>
          <w:p w:rsidR="00752822" w:rsidRPr="00752822" w:rsidRDefault="00752822" w:rsidP="00752822">
            <w:pPr>
              <w:spacing w:after="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2</w:t>
            </w:r>
          </w:p>
        </w:tc>
        <w:tc>
          <w:tcPr>
            <w:tcW w:w="4377" w:type="pct"/>
            <w:tcMar>
              <w:top w:w="0" w:type="dxa"/>
              <w:left w:w="0" w:type="dxa"/>
              <w:bottom w:w="0" w:type="dxa"/>
              <w:right w:w="0" w:type="dxa"/>
            </w:tcMar>
            <w:vAlign w:val="center"/>
          </w:tcPr>
          <w:p w:rsidR="00752822" w:rsidRPr="00752822" w:rsidRDefault="00752822" w:rsidP="00752822">
            <w:pPr>
              <w:spacing w:after="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ознакомление с тематикой исследовательских работ в рамках магистерской программы; выбор темы исследования; осуществление самостоятельного исследования по актуальной проблеме в рамках работы над тематикой выпускной квалификационной работы;  подготовка плана по теме выпускной квалификационной работы; участие в проведении научных, научно-практических конференций, семинаров, круглых столов, дискуссий, диспутов, организуемых кафедрой, институтом, вузом;</w:t>
            </w:r>
          </w:p>
          <w:p w:rsidR="00752822" w:rsidRPr="00752822" w:rsidRDefault="00752822" w:rsidP="00752822">
            <w:pPr>
              <w:spacing w:after="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подготовка эссе по теме выпускной квалификационной работы; консультации с руководителями по теме выпускной квалификационной работы со специалистами (ведущими исследователями), руководителем магистерской программы.</w:t>
            </w:r>
          </w:p>
        </w:tc>
      </w:tr>
      <w:tr w:rsidR="00752822" w:rsidRPr="00752822" w:rsidTr="00FD51BC">
        <w:trPr>
          <w:tblCellSpacing w:w="0" w:type="dxa"/>
        </w:trPr>
        <w:tc>
          <w:tcPr>
            <w:tcW w:w="0" w:type="auto"/>
            <w:tcMar>
              <w:top w:w="0" w:type="dxa"/>
              <w:left w:w="0" w:type="dxa"/>
              <w:bottom w:w="0" w:type="dxa"/>
              <w:right w:w="0" w:type="dxa"/>
            </w:tcMar>
            <w:vAlign w:val="center"/>
          </w:tcPr>
          <w:p w:rsidR="00752822" w:rsidRPr="00752822" w:rsidRDefault="00752822" w:rsidP="00752822">
            <w:pPr>
              <w:spacing w:after="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3</w:t>
            </w:r>
          </w:p>
        </w:tc>
        <w:tc>
          <w:tcPr>
            <w:tcW w:w="4377" w:type="pct"/>
            <w:tcMar>
              <w:top w:w="0" w:type="dxa"/>
              <w:left w:w="0" w:type="dxa"/>
              <w:bottom w:w="0" w:type="dxa"/>
              <w:right w:w="0" w:type="dxa"/>
            </w:tcMar>
            <w:vAlign w:val="center"/>
          </w:tcPr>
          <w:p w:rsidR="00752822" w:rsidRPr="00752822" w:rsidRDefault="00752822" w:rsidP="00752822">
            <w:pPr>
              <w:spacing w:after="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Подготовка и защита отчета по научно-исследовательской работе</w:t>
            </w:r>
          </w:p>
        </w:tc>
      </w:tr>
    </w:tbl>
    <w:p w:rsidR="00752822" w:rsidRPr="00752822" w:rsidRDefault="00752822" w:rsidP="00752822">
      <w:pPr>
        <w:spacing w:after="0" w:line="240" w:lineRule="auto"/>
        <w:rPr>
          <w:rFonts w:ascii="Times New Roman" w:eastAsia="Times New Roman" w:hAnsi="Times New Roman" w:cs="Times New Roman"/>
          <w:sz w:val="28"/>
          <w:szCs w:val="28"/>
          <w:lang w:eastAsia="ru-RU"/>
        </w:rPr>
      </w:pPr>
    </w:p>
    <w:p w:rsidR="00752822" w:rsidRPr="00752822" w:rsidRDefault="00752822" w:rsidP="00752822">
      <w:pPr>
        <w:spacing w:before="280" w:after="280" w:line="240" w:lineRule="auto"/>
        <w:rPr>
          <w:rFonts w:ascii="Times New Roman" w:eastAsia="Times New Roman" w:hAnsi="Times New Roman" w:cs="Times New Roman"/>
          <w:sz w:val="28"/>
          <w:szCs w:val="28"/>
          <w:lang w:eastAsia="ru-RU"/>
        </w:rPr>
      </w:pPr>
      <w:r w:rsidRPr="00752822">
        <w:rPr>
          <w:rFonts w:ascii="Times New Roman" w:eastAsia="Times New Roman" w:hAnsi="Times New Roman" w:cs="Times New Roman"/>
          <w:b/>
          <w:bCs/>
          <w:sz w:val="28"/>
          <w:szCs w:val="28"/>
          <w:lang w:eastAsia="ru-RU"/>
        </w:rPr>
        <w:t xml:space="preserve">Формы отчетности по выполнению научно-исследовательской работы в 1 семестре </w:t>
      </w:r>
    </w:p>
    <w:p w:rsidR="00752822" w:rsidRPr="00752822" w:rsidRDefault="00752822" w:rsidP="00752822">
      <w:pPr>
        <w:spacing w:after="0" w:line="240" w:lineRule="auto"/>
        <w:jc w:val="both"/>
        <w:rPr>
          <w:rFonts w:ascii="Times New Roman" w:eastAsia="Times New Roman" w:hAnsi="Times New Roman" w:cs="Times New Roman"/>
          <w:sz w:val="28"/>
          <w:szCs w:val="28"/>
          <w:lang w:eastAsia="ru-RU"/>
        </w:rPr>
      </w:pPr>
      <w:proofErr w:type="gramStart"/>
      <w:r w:rsidRPr="00752822">
        <w:rPr>
          <w:rFonts w:ascii="Times New Roman" w:eastAsia="Times New Roman" w:hAnsi="Times New Roman" w:cs="Times New Roman"/>
          <w:sz w:val="28"/>
          <w:szCs w:val="28"/>
          <w:lang w:eastAsia="ru-RU"/>
        </w:rPr>
        <w:t>Студент, выполнивший научно-исследовательскую работу в 1 семестре предоставляет</w:t>
      </w:r>
      <w:proofErr w:type="gramEnd"/>
      <w:r w:rsidRPr="00752822">
        <w:rPr>
          <w:rFonts w:ascii="Times New Roman" w:eastAsia="Times New Roman" w:hAnsi="Times New Roman" w:cs="Times New Roman"/>
          <w:sz w:val="28"/>
          <w:szCs w:val="28"/>
          <w:lang w:eastAsia="ru-RU"/>
        </w:rPr>
        <w:t xml:space="preserve"> на кафедру отчет о научно-исследовательской работе, который включает в себя:</w:t>
      </w:r>
    </w:p>
    <w:p w:rsidR="00752822" w:rsidRPr="00752822" w:rsidRDefault="00752822" w:rsidP="00752822">
      <w:pPr>
        <w:spacing w:after="0" w:line="240" w:lineRule="auto"/>
        <w:jc w:val="both"/>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 xml:space="preserve">–  задание для выполнения научно-исследовательской работы; </w:t>
      </w:r>
    </w:p>
    <w:p w:rsidR="00752822" w:rsidRPr="00752822" w:rsidRDefault="00752822" w:rsidP="00752822">
      <w:pPr>
        <w:spacing w:after="0" w:line="240" w:lineRule="auto"/>
        <w:jc w:val="both"/>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  эссе по выбору темы выпускной квалификационной работы;</w:t>
      </w:r>
    </w:p>
    <w:p w:rsidR="00752822" w:rsidRPr="00752822" w:rsidRDefault="00752822" w:rsidP="00752822">
      <w:pPr>
        <w:spacing w:after="0" w:line="240" w:lineRule="auto"/>
        <w:jc w:val="both"/>
        <w:rPr>
          <w:rFonts w:ascii="Times New Roman" w:eastAsia="Times New Roman" w:hAnsi="Times New Roman" w:cs="Times New Roman"/>
          <w:sz w:val="28"/>
          <w:szCs w:val="28"/>
          <w:lang w:eastAsia="ru-RU"/>
        </w:rPr>
      </w:pPr>
      <w:r w:rsidRPr="00752822">
        <w:rPr>
          <w:rFonts w:ascii="Times New Roman" w:eastAsia="Times New Roman" w:hAnsi="Times New Roman" w:cs="Times New Roman"/>
          <w:sz w:val="28"/>
          <w:szCs w:val="28"/>
          <w:lang w:eastAsia="ru-RU"/>
        </w:rPr>
        <w:t>–  план по теме выпускной квалификационной работы.</w:t>
      </w:r>
    </w:p>
    <w:p w:rsidR="00752822" w:rsidRPr="00752822" w:rsidRDefault="00752822" w:rsidP="00752822">
      <w:pPr>
        <w:spacing w:after="0" w:line="240" w:lineRule="auto"/>
        <w:jc w:val="both"/>
        <w:rPr>
          <w:rFonts w:ascii="Times New Roman" w:eastAsia="Times New Roman" w:hAnsi="Times New Roman" w:cs="Times New Roman"/>
          <w:sz w:val="28"/>
          <w:szCs w:val="28"/>
          <w:lang w:eastAsia="ru-RU"/>
        </w:rPr>
      </w:pPr>
    </w:p>
    <w:p w:rsidR="00752822" w:rsidRPr="00752822" w:rsidRDefault="00752822" w:rsidP="00752822">
      <w:pPr>
        <w:spacing w:after="0" w:line="240" w:lineRule="auto"/>
        <w:jc w:val="both"/>
        <w:rPr>
          <w:rFonts w:ascii="Times New Roman" w:eastAsia="Times New Roman" w:hAnsi="Times New Roman" w:cs="Times New Roman"/>
          <w:sz w:val="28"/>
          <w:szCs w:val="28"/>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752822" w:rsidRDefault="00752822" w:rsidP="002C585B">
      <w:pPr>
        <w:spacing w:after="0" w:line="360" w:lineRule="auto"/>
        <w:jc w:val="right"/>
        <w:rPr>
          <w:rFonts w:ascii="Times New Roman" w:eastAsia="Times New Roman" w:hAnsi="Times New Roman" w:cs="Times New Roman"/>
          <w:b/>
          <w:i/>
          <w:color w:val="000000"/>
          <w:sz w:val="24"/>
          <w:szCs w:val="24"/>
          <w:shd w:val="clear" w:color="auto" w:fill="FFFFFF"/>
          <w:lang w:eastAsia="ru-RU"/>
        </w:rPr>
      </w:pPr>
    </w:p>
    <w:p w:rsidR="002C585B" w:rsidRPr="002C585B" w:rsidRDefault="002C585B" w:rsidP="002C585B">
      <w:pPr>
        <w:spacing w:after="0" w:line="360" w:lineRule="auto"/>
        <w:jc w:val="right"/>
        <w:rPr>
          <w:rFonts w:ascii="Times New Roman" w:eastAsia="Times New Roman" w:hAnsi="Times New Roman" w:cs="Times New Roman"/>
          <w:b/>
          <w:i/>
          <w:sz w:val="24"/>
          <w:szCs w:val="24"/>
          <w:lang w:eastAsia="ru-RU"/>
        </w:rPr>
      </w:pPr>
      <w:r w:rsidRPr="002C585B">
        <w:rPr>
          <w:rFonts w:ascii="Times New Roman" w:eastAsia="Times New Roman" w:hAnsi="Times New Roman" w:cs="Times New Roman"/>
          <w:b/>
          <w:i/>
          <w:color w:val="000000"/>
          <w:sz w:val="24"/>
          <w:szCs w:val="24"/>
          <w:shd w:val="clear" w:color="auto" w:fill="FFFFFF"/>
          <w:lang w:eastAsia="ru-RU"/>
        </w:rPr>
        <w:lastRenderedPageBreak/>
        <w:t>Образец научно-исследовательской работы (1 семестр)</w:t>
      </w:r>
    </w:p>
    <w:p w:rsidR="002C585B" w:rsidRPr="002C585B" w:rsidRDefault="002C585B" w:rsidP="002C585B">
      <w:pPr>
        <w:spacing w:after="0" w:line="360" w:lineRule="auto"/>
        <w:jc w:val="both"/>
        <w:rPr>
          <w:rFonts w:ascii="Times New Roman" w:eastAsia="Times New Roman" w:hAnsi="Times New Roman" w:cs="Times New Roman"/>
          <w:sz w:val="28"/>
          <w:szCs w:val="28"/>
          <w:lang w:eastAsia="ru-RU"/>
        </w:rPr>
      </w:pP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C2134F" w:rsidRPr="00C2134F" w:rsidRDefault="00C2134F" w:rsidP="00C2134F">
      <w:pPr>
        <w:spacing w:after="0" w:line="240" w:lineRule="auto"/>
        <w:ind w:firstLine="426"/>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Федеральное государственное автономное образовательное учреждение высшего образования</w:t>
      </w: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«Южно-Уральский государственный университет</w:t>
      </w: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(национальный исследовательский университет)»</w:t>
      </w: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Юридический  институт</w:t>
      </w: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Кафедра «Предпринимательское, конкурентное и экологическое право»</w:t>
      </w: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jc w:val="right"/>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left="5245"/>
        <w:jc w:val="right"/>
        <w:rPr>
          <w:rFonts w:ascii="Times New Roman" w:eastAsia="Times New Roman" w:hAnsi="Times New Roman" w:cs="Times New Roman"/>
          <w:sz w:val="24"/>
          <w:szCs w:val="24"/>
          <w:lang w:eastAsia="ru-RU"/>
        </w:rPr>
      </w:pPr>
    </w:p>
    <w:p w:rsidR="00C2134F" w:rsidRPr="00C2134F" w:rsidRDefault="00C2134F" w:rsidP="00C2134F">
      <w:pPr>
        <w:spacing w:after="0" w:line="240" w:lineRule="auto"/>
        <w:rPr>
          <w:rFonts w:ascii="Times New Roman" w:eastAsia="Times New Roman" w:hAnsi="Times New Roman" w:cs="Times New Roman"/>
          <w:sz w:val="32"/>
          <w:szCs w:val="32"/>
          <w:lang w:eastAsia="ru-RU"/>
        </w:rPr>
      </w:pPr>
    </w:p>
    <w:p w:rsidR="00C2134F" w:rsidRPr="00C2134F" w:rsidRDefault="00C2134F" w:rsidP="00C2134F">
      <w:pPr>
        <w:spacing w:after="0" w:line="240" w:lineRule="auto"/>
        <w:jc w:val="center"/>
        <w:rPr>
          <w:rFonts w:ascii="Times New Roman" w:eastAsia="Times New Roman" w:hAnsi="Times New Roman" w:cs="Times New Roman"/>
          <w:b/>
          <w:caps/>
          <w:sz w:val="32"/>
          <w:szCs w:val="32"/>
          <w:lang w:eastAsia="ru-RU"/>
        </w:rPr>
      </w:pPr>
      <w:r w:rsidRPr="00C2134F">
        <w:rPr>
          <w:rFonts w:ascii="Times New Roman" w:eastAsia="Times New Roman" w:hAnsi="Times New Roman" w:cs="Times New Roman"/>
          <w:b/>
          <w:caps/>
          <w:sz w:val="32"/>
          <w:szCs w:val="32"/>
          <w:lang w:eastAsia="ru-RU"/>
        </w:rPr>
        <w:t xml:space="preserve">ОТЧЕТ </w:t>
      </w:r>
    </w:p>
    <w:p w:rsidR="00C2134F" w:rsidRPr="00C2134F" w:rsidRDefault="00C2134F" w:rsidP="00C2134F">
      <w:pPr>
        <w:spacing w:after="0" w:line="240" w:lineRule="auto"/>
        <w:jc w:val="center"/>
        <w:rPr>
          <w:rFonts w:ascii="Times New Roman" w:eastAsia="Times New Roman" w:hAnsi="Times New Roman" w:cs="Times New Roman"/>
          <w:b/>
          <w:caps/>
          <w:sz w:val="32"/>
          <w:szCs w:val="32"/>
          <w:lang w:eastAsia="ru-RU"/>
        </w:rPr>
      </w:pPr>
      <w:r w:rsidRPr="00C2134F">
        <w:rPr>
          <w:rFonts w:ascii="Times New Roman" w:eastAsia="Times New Roman" w:hAnsi="Times New Roman" w:cs="Times New Roman"/>
          <w:b/>
          <w:caps/>
          <w:sz w:val="32"/>
          <w:szCs w:val="32"/>
          <w:lang w:eastAsia="ru-RU"/>
        </w:rPr>
        <w:t>О НАУЧНО-ИССЛЕДОВАТЕЛЬСКой РАБОТе</w:t>
      </w:r>
    </w:p>
    <w:p w:rsidR="00C2134F" w:rsidRPr="00C2134F" w:rsidRDefault="00C2134F" w:rsidP="00C2134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 С</w:t>
      </w:r>
      <w:r w:rsidRPr="00C2134F">
        <w:rPr>
          <w:rFonts w:ascii="Times New Roman" w:eastAsia="Times New Roman" w:hAnsi="Times New Roman" w:cs="Times New Roman"/>
          <w:b/>
          <w:sz w:val="32"/>
          <w:szCs w:val="32"/>
          <w:lang w:eastAsia="ru-RU"/>
        </w:rPr>
        <w:t>)</w:t>
      </w:r>
    </w:p>
    <w:p w:rsidR="00C2134F" w:rsidRPr="00C2134F" w:rsidRDefault="00C2134F" w:rsidP="00C2134F">
      <w:pPr>
        <w:spacing w:after="0" w:line="240" w:lineRule="auto"/>
        <w:jc w:val="center"/>
        <w:rPr>
          <w:rFonts w:ascii="Times New Roman" w:eastAsia="Times New Roman" w:hAnsi="Times New Roman" w:cs="Times New Roman"/>
          <w:b/>
          <w:sz w:val="32"/>
          <w:szCs w:val="32"/>
          <w:lang w:eastAsia="ru-RU"/>
        </w:rPr>
      </w:pPr>
    </w:p>
    <w:p w:rsidR="00C2134F" w:rsidRPr="00C2134F" w:rsidRDefault="00C2134F" w:rsidP="00C2134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C2134F">
        <w:rPr>
          <w:rFonts w:ascii="Times New Roman" w:eastAsia="Times New Roman" w:hAnsi="Times New Roman" w:cs="Times New Roman"/>
          <w:color w:val="000000"/>
          <w:sz w:val="28"/>
          <w:szCs w:val="28"/>
          <w:shd w:val="clear" w:color="auto" w:fill="FFFFFF"/>
          <w:lang w:eastAsia="ru-RU"/>
        </w:rPr>
        <w:t xml:space="preserve">ФГАОУ ВО «ЮУрГУ (НИУ)» - 40.04.01. </w:t>
      </w:r>
      <w:r w:rsidRPr="00895C72">
        <w:rPr>
          <w:rFonts w:ascii="Times New Roman" w:eastAsia="Times New Roman" w:hAnsi="Times New Roman" w:cs="Times New Roman"/>
          <w:color w:val="FF0000"/>
          <w:sz w:val="28"/>
          <w:szCs w:val="28"/>
          <w:shd w:val="clear" w:color="auto" w:fill="FFFFFF"/>
          <w:lang w:eastAsia="ru-RU"/>
        </w:rPr>
        <w:t>2017. Ю-140</w:t>
      </w:r>
    </w:p>
    <w:p w:rsidR="00C2134F" w:rsidRPr="00C2134F" w:rsidRDefault="00C2134F" w:rsidP="00C2134F">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C2134F" w:rsidRPr="00C2134F" w:rsidRDefault="00C2134F" w:rsidP="00C2134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C2134F">
        <w:rPr>
          <w:rFonts w:ascii="Times New Roman" w:eastAsia="Times New Roman" w:hAnsi="Times New Roman" w:cs="Times New Roman"/>
          <w:color w:val="000000"/>
          <w:sz w:val="28"/>
          <w:szCs w:val="28"/>
          <w:shd w:val="clear" w:color="auto" w:fill="FFFFFF"/>
          <w:lang w:eastAsia="ru-RU"/>
        </w:rPr>
        <w:t xml:space="preserve">Магистерская программа </w:t>
      </w:r>
    </w:p>
    <w:p w:rsidR="00C2134F" w:rsidRPr="00C2134F" w:rsidRDefault="00C2134F" w:rsidP="00C2134F">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C2134F">
        <w:rPr>
          <w:rFonts w:ascii="Times New Roman" w:eastAsia="Times New Roman" w:hAnsi="Times New Roman" w:cs="Times New Roman"/>
          <w:color w:val="000000"/>
          <w:sz w:val="28"/>
          <w:szCs w:val="28"/>
          <w:shd w:val="clear" w:color="auto" w:fill="FFFFFF"/>
          <w:lang w:eastAsia="ru-RU"/>
        </w:rPr>
        <w:t>«Правовое обеспечение экономической деятельности»</w:t>
      </w:r>
    </w:p>
    <w:p w:rsidR="00C2134F" w:rsidRPr="00C2134F" w:rsidRDefault="00C2134F" w:rsidP="00C2134F">
      <w:pPr>
        <w:spacing w:after="0" w:line="240" w:lineRule="auto"/>
        <w:jc w:val="right"/>
        <w:rPr>
          <w:rFonts w:ascii="Times New Roman" w:eastAsia="Times New Roman" w:hAnsi="Times New Roman" w:cs="Times New Roman"/>
          <w:sz w:val="28"/>
          <w:szCs w:val="28"/>
          <w:lang w:eastAsia="ru-RU"/>
        </w:rPr>
      </w:pPr>
    </w:p>
    <w:p w:rsidR="00C2134F" w:rsidRPr="00C2134F" w:rsidRDefault="00C2134F" w:rsidP="00C2134F">
      <w:pPr>
        <w:spacing w:after="0" w:line="240" w:lineRule="auto"/>
        <w:jc w:val="right"/>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left="4962"/>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Научный руководитель </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proofErr w:type="spellStart"/>
      <w:r w:rsidRPr="00C2134F">
        <w:rPr>
          <w:rFonts w:ascii="Times New Roman" w:eastAsia="Times New Roman" w:hAnsi="Times New Roman" w:cs="Times New Roman"/>
          <w:sz w:val="28"/>
          <w:szCs w:val="28"/>
          <w:lang w:eastAsia="ru-RU"/>
        </w:rPr>
        <w:t>докт</w:t>
      </w:r>
      <w:proofErr w:type="spellEnd"/>
      <w:r w:rsidRPr="00C2134F">
        <w:rPr>
          <w:rFonts w:ascii="Times New Roman" w:eastAsia="Times New Roman" w:hAnsi="Times New Roman" w:cs="Times New Roman"/>
          <w:sz w:val="28"/>
          <w:szCs w:val="28"/>
          <w:lang w:eastAsia="ru-RU"/>
        </w:rPr>
        <w:t xml:space="preserve">. </w:t>
      </w:r>
      <w:proofErr w:type="spellStart"/>
      <w:r w:rsidRPr="00C2134F">
        <w:rPr>
          <w:rFonts w:ascii="Times New Roman" w:eastAsia="Times New Roman" w:hAnsi="Times New Roman" w:cs="Times New Roman"/>
          <w:sz w:val="28"/>
          <w:szCs w:val="28"/>
          <w:lang w:eastAsia="ru-RU"/>
        </w:rPr>
        <w:t>юрид</w:t>
      </w:r>
      <w:proofErr w:type="spellEnd"/>
      <w:r w:rsidRPr="00C2134F">
        <w:rPr>
          <w:rFonts w:ascii="Times New Roman" w:eastAsia="Times New Roman" w:hAnsi="Times New Roman" w:cs="Times New Roman"/>
          <w:sz w:val="28"/>
          <w:szCs w:val="28"/>
          <w:lang w:eastAsia="ru-RU"/>
        </w:rPr>
        <w:t>. наук, проф.</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Кванина В.В.</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_____________</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______________201_ г.</w:t>
      </w:r>
    </w:p>
    <w:p w:rsidR="00C2134F" w:rsidRPr="00C2134F" w:rsidRDefault="00C2134F" w:rsidP="00C2134F">
      <w:pPr>
        <w:spacing w:after="0" w:line="240" w:lineRule="auto"/>
        <w:ind w:left="4860"/>
        <w:jc w:val="right"/>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Автор работы </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студент группы </w:t>
      </w:r>
      <w:r w:rsidRPr="00895C72">
        <w:rPr>
          <w:rFonts w:ascii="Times New Roman" w:eastAsia="Times New Roman" w:hAnsi="Times New Roman" w:cs="Times New Roman"/>
          <w:color w:val="FF0000"/>
          <w:sz w:val="28"/>
          <w:szCs w:val="28"/>
          <w:lang w:eastAsia="ru-RU"/>
        </w:rPr>
        <w:t>Ю-140</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Иванов И.И.</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______________</w:t>
      </w:r>
    </w:p>
    <w:p w:rsidR="00C2134F" w:rsidRPr="00C2134F" w:rsidRDefault="00C2134F" w:rsidP="00C2134F">
      <w:pPr>
        <w:spacing w:after="0" w:line="240" w:lineRule="auto"/>
        <w:ind w:left="4860"/>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______________ 201_ г.</w:t>
      </w:r>
    </w:p>
    <w:p w:rsidR="00C2134F" w:rsidRPr="00C2134F" w:rsidRDefault="00C2134F" w:rsidP="00C2134F">
      <w:pPr>
        <w:spacing w:after="0" w:line="240" w:lineRule="auto"/>
        <w:ind w:right="1120"/>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right="1120"/>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rPr>
          <w:rFonts w:ascii="Times New Roman" w:eastAsia="Times New Roman" w:hAnsi="Times New Roman" w:cs="Times New Roman"/>
          <w:sz w:val="28"/>
          <w:szCs w:val="28"/>
          <w:lang w:eastAsia="ru-RU"/>
        </w:rPr>
      </w:pPr>
    </w:p>
    <w:p w:rsidR="00C2134F" w:rsidRPr="00C2134F" w:rsidRDefault="00C2134F" w:rsidP="00C2134F">
      <w:pPr>
        <w:spacing w:after="0" w:line="240" w:lineRule="auto"/>
        <w:rPr>
          <w:rFonts w:ascii="Times New Roman" w:eastAsia="Times New Roman" w:hAnsi="Times New Roman" w:cs="Times New Roman"/>
          <w:sz w:val="28"/>
          <w:szCs w:val="28"/>
          <w:lang w:eastAsia="ru-RU"/>
        </w:rPr>
      </w:pP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Челябинск </w:t>
      </w:r>
    </w:p>
    <w:p w:rsid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201</w:t>
      </w:r>
    </w:p>
    <w:p w:rsidR="00C2134F" w:rsidRDefault="00C2134F" w:rsidP="00C2134F">
      <w:pPr>
        <w:spacing w:after="0" w:line="240" w:lineRule="auto"/>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left="36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Федеральное государственное автономное образовательное</w:t>
      </w: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учреждение высшего образования</w:t>
      </w: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«Южно-Уральский государственный университет</w:t>
      </w: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(национальный исследовательский университет)»</w:t>
      </w: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Юридический институт</w:t>
      </w: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Кафедра «Предпринимательское, конкурентное и экологическое право»</w:t>
      </w:r>
    </w:p>
    <w:p w:rsidR="00C2134F" w:rsidRPr="00C2134F" w:rsidRDefault="00C2134F" w:rsidP="00C2134F">
      <w:pPr>
        <w:spacing w:after="0" w:line="240" w:lineRule="auto"/>
        <w:jc w:val="both"/>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proofErr w:type="gramStart"/>
      <w:r w:rsidRPr="00C2134F">
        <w:rPr>
          <w:rFonts w:ascii="Times New Roman" w:eastAsia="Times New Roman" w:hAnsi="Times New Roman" w:cs="Times New Roman"/>
          <w:sz w:val="28"/>
          <w:szCs w:val="28"/>
          <w:lang w:eastAsia="ru-RU"/>
        </w:rPr>
        <w:t>З</w:t>
      </w:r>
      <w:proofErr w:type="gramEnd"/>
      <w:r w:rsidRPr="00C2134F">
        <w:rPr>
          <w:rFonts w:ascii="Times New Roman" w:eastAsia="Times New Roman" w:hAnsi="Times New Roman" w:cs="Times New Roman"/>
          <w:sz w:val="28"/>
          <w:szCs w:val="28"/>
          <w:lang w:eastAsia="ru-RU"/>
        </w:rPr>
        <w:t xml:space="preserve"> А Д А Н И Е</w:t>
      </w: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ind w:left="720"/>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на научно-исследовательскую работу</w:t>
      </w: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Иванова Ивана Ивановича</w:t>
      </w:r>
    </w:p>
    <w:p w:rsidR="00C2134F" w:rsidRPr="00895C72" w:rsidRDefault="00C2134F" w:rsidP="00C2134F">
      <w:pPr>
        <w:spacing w:after="0" w:line="240" w:lineRule="auto"/>
        <w:jc w:val="center"/>
        <w:rPr>
          <w:rFonts w:ascii="Times New Roman" w:eastAsia="Times New Roman" w:hAnsi="Times New Roman" w:cs="Times New Roman"/>
          <w:color w:val="FF0000"/>
          <w:sz w:val="28"/>
          <w:szCs w:val="28"/>
          <w:lang w:eastAsia="ru-RU"/>
        </w:rPr>
      </w:pPr>
      <w:r w:rsidRPr="00895C72">
        <w:rPr>
          <w:rFonts w:ascii="Times New Roman" w:eastAsia="Times New Roman" w:hAnsi="Times New Roman" w:cs="Times New Roman"/>
          <w:color w:val="FF0000"/>
          <w:sz w:val="28"/>
          <w:szCs w:val="28"/>
          <w:lang w:eastAsia="ru-RU"/>
        </w:rPr>
        <w:t>Группа Ю-140</w:t>
      </w:r>
    </w:p>
    <w:p w:rsidR="00C2134F" w:rsidRPr="00C2134F" w:rsidRDefault="00C2134F" w:rsidP="00C2134F">
      <w:pPr>
        <w:numPr>
          <w:ilvl w:val="0"/>
          <w:numId w:val="2"/>
        </w:numPr>
        <w:tabs>
          <w:tab w:val="clear" w:pos="4943"/>
          <w:tab w:val="num" w:pos="0"/>
          <w:tab w:val="num" w:pos="142"/>
        </w:tabs>
        <w:spacing w:after="0" w:line="240" w:lineRule="auto"/>
        <w:ind w:left="0" w:firstLine="0"/>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 Тема работы:</w:t>
      </w:r>
    </w:p>
    <w:p w:rsidR="00C2134F" w:rsidRPr="00C2134F" w:rsidRDefault="00C2134F" w:rsidP="00C2134F">
      <w:pPr>
        <w:tabs>
          <w:tab w:val="num" w:pos="0"/>
          <w:tab w:val="num" w:pos="142"/>
        </w:tabs>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«НАЗВАНИЕ ТЕМЫ» </w:t>
      </w:r>
    </w:p>
    <w:p w:rsidR="00C2134F" w:rsidRPr="00C2134F" w:rsidRDefault="00C2134F" w:rsidP="00C2134F">
      <w:pPr>
        <w:numPr>
          <w:ilvl w:val="0"/>
          <w:numId w:val="2"/>
        </w:numPr>
        <w:tabs>
          <w:tab w:val="clear" w:pos="4943"/>
          <w:tab w:val="num" w:pos="0"/>
          <w:tab w:val="num" w:pos="142"/>
        </w:tabs>
        <w:spacing w:after="0" w:line="240" w:lineRule="auto"/>
        <w:ind w:left="0" w:firstLine="0"/>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  Срок сдачи законченной работы   __________________  20   </w:t>
      </w:r>
      <w:proofErr w:type="spellStart"/>
      <w:r w:rsidRPr="00C2134F">
        <w:rPr>
          <w:rFonts w:ascii="Times New Roman" w:eastAsia="Times New Roman" w:hAnsi="Times New Roman" w:cs="Times New Roman"/>
          <w:sz w:val="28"/>
          <w:szCs w:val="28"/>
          <w:lang w:eastAsia="ru-RU"/>
        </w:rPr>
        <w:t>__г</w:t>
      </w:r>
      <w:proofErr w:type="spellEnd"/>
      <w:r w:rsidRPr="00C2134F">
        <w:rPr>
          <w:rFonts w:ascii="Times New Roman" w:eastAsia="Times New Roman" w:hAnsi="Times New Roman" w:cs="Times New Roman"/>
          <w:sz w:val="28"/>
          <w:szCs w:val="28"/>
          <w:lang w:eastAsia="ru-RU"/>
        </w:rPr>
        <w:t>.</w:t>
      </w:r>
    </w:p>
    <w:p w:rsidR="00C2134F" w:rsidRPr="00C2134F" w:rsidRDefault="00C2134F" w:rsidP="00C2134F">
      <w:pPr>
        <w:tabs>
          <w:tab w:val="num" w:pos="0"/>
          <w:tab w:val="num" w:pos="142"/>
        </w:tabs>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3. Исходные данные к работе:</w:t>
      </w:r>
    </w:p>
    <w:p w:rsidR="00C2134F" w:rsidRPr="00C2134F" w:rsidRDefault="00C2134F" w:rsidP="00C2134F">
      <w:pPr>
        <w:tabs>
          <w:tab w:val="num" w:pos="142"/>
        </w:tabs>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4"/>
          <w:szCs w:val="24"/>
          <w:lang w:eastAsia="ru-RU"/>
        </w:rPr>
        <w:t xml:space="preserve"> </w:t>
      </w:r>
      <w:r w:rsidRPr="00C2134F">
        <w:rPr>
          <w:rFonts w:ascii="Times New Roman" w:eastAsia="Times New Roman" w:hAnsi="Times New Roman" w:cs="Times New Roman"/>
          <w:sz w:val="28"/>
          <w:szCs w:val="28"/>
          <w:lang w:eastAsia="ru-RU"/>
        </w:rPr>
        <w:t xml:space="preserve">Федеральный закон </w:t>
      </w:r>
      <w:r w:rsidRPr="00C2134F">
        <w:rPr>
          <w:rFonts w:ascii="Times New Roman" w:eastAsia="Times New Roman" w:hAnsi="Times New Roman" w:cs="Times New Roman"/>
          <w:color w:val="000000"/>
          <w:sz w:val="28"/>
          <w:szCs w:val="28"/>
          <w:shd w:val="clear" w:color="auto" w:fill="FFFFFF"/>
          <w:lang w:eastAsia="ru-RU"/>
        </w:rPr>
        <w:t xml:space="preserve">«О контрактной системе в сфере закупок товаров, работ, услуг для обеспечения государственных и муниципальных нужд» от </w:t>
      </w:r>
      <w:r w:rsidRPr="00C2134F">
        <w:rPr>
          <w:rFonts w:ascii="Times New Roman" w:eastAsia="Times New Roman" w:hAnsi="Times New Roman" w:cs="Times New Roman"/>
          <w:sz w:val="28"/>
          <w:szCs w:val="28"/>
          <w:lang w:eastAsia="ru-RU"/>
        </w:rPr>
        <w:t xml:space="preserve">5 апреля 2013 года № 44-ФЗ // </w:t>
      </w:r>
      <w:r w:rsidRPr="00C2134F">
        <w:rPr>
          <w:rFonts w:ascii="Times New Roman" w:eastAsia="Times New Roman" w:hAnsi="Times New Roman" w:cs="Times New Roman"/>
          <w:spacing w:val="-10"/>
          <w:kern w:val="2"/>
          <w:sz w:val="28"/>
          <w:szCs w:val="28"/>
          <w:lang w:eastAsia="ru-RU"/>
        </w:rPr>
        <w:t>СЗ РФ. – 2013. – № 14. – Ст. 1652.</w:t>
      </w:r>
    </w:p>
    <w:p w:rsidR="00C2134F" w:rsidRPr="00C2134F" w:rsidRDefault="00C2134F" w:rsidP="00C2134F">
      <w:pPr>
        <w:tabs>
          <w:tab w:val="num" w:pos="142"/>
        </w:tabs>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Федеральный закон «О закупках товаров, работ, услуг отдельными видами юридических лиц» от 18 июля 2011 года № 223-ФЗ // СЗ РФ. – 2011. – № 30 (ч.1). – Ст. 4571.</w:t>
      </w:r>
    </w:p>
    <w:p w:rsidR="00C2134F" w:rsidRPr="00C2134F" w:rsidRDefault="00C2134F" w:rsidP="00C2134F">
      <w:pPr>
        <w:tabs>
          <w:tab w:val="num" w:pos="142"/>
        </w:tabs>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4 </w:t>
      </w:r>
      <w:r w:rsidRPr="00C2134F">
        <w:rPr>
          <w:rFonts w:ascii="Times New Roman" w:eastAsia="Times New Roman" w:hAnsi="Times New Roman" w:cs="Times New Roman"/>
          <w:sz w:val="28"/>
          <w:szCs w:val="28"/>
          <w:lang w:eastAsia="ru-RU"/>
        </w:rPr>
        <w:tab/>
        <w:t xml:space="preserve">Перечень вопросов, подлежащих разработке </w:t>
      </w:r>
    </w:p>
    <w:p w:rsidR="00C2134F" w:rsidRPr="00D54C08" w:rsidRDefault="00C2134F" w:rsidP="00C2134F">
      <w:pPr>
        <w:tabs>
          <w:tab w:val="num" w:pos="142"/>
        </w:tabs>
        <w:spacing w:after="0" w:line="240" w:lineRule="auto"/>
        <w:jc w:val="both"/>
        <w:rPr>
          <w:rFonts w:ascii="Times New Roman" w:eastAsia="Times New Roman" w:hAnsi="Times New Roman" w:cs="Times New Roman"/>
          <w:color w:val="FF0000"/>
          <w:sz w:val="28"/>
          <w:szCs w:val="28"/>
          <w:lang w:eastAsia="ru-RU"/>
        </w:rPr>
      </w:pPr>
      <w:r w:rsidRPr="00D54C08">
        <w:rPr>
          <w:rFonts w:ascii="Times New Roman" w:eastAsia="Times New Roman" w:hAnsi="Times New Roman" w:cs="Times New Roman"/>
          <w:color w:val="FF0000"/>
          <w:sz w:val="28"/>
          <w:szCs w:val="28"/>
          <w:lang w:eastAsia="ru-RU"/>
        </w:rPr>
        <w:t>1.Реестр контрактов, заключенных заказчиками</w:t>
      </w:r>
    </w:p>
    <w:p w:rsidR="00C2134F" w:rsidRPr="00D54C08" w:rsidRDefault="00C2134F" w:rsidP="00C2134F">
      <w:pPr>
        <w:tabs>
          <w:tab w:val="num" w:pos="142"/>
        </w:tabs>
        <w:spacing w:after="0" w:line="240" w:lineRule="auto"/>
        <w:jc w:val="both"/>
        <w:rPr>
          <w:rFonts w:ascii="Times New Roman" w:eastAsia="Times New Roman" w:hAnsi="Times New Roman" w:cs="Times New Roman"/>
          <w:color w:val="FF0000"/>
          <w:sz w:val="28"/>
          <w:szCs w:val="28"/>
          <w:lang w:eastAsia="ru-RU"/>
        </w:rPr>
      </w:pPr>
      <w:r w:rsidRPr="00D54C08">
        <w:rPr>
          <w:rFonts w:ascii="Times New Roman" w:eastAsia="Times New Roman" w:hAnsi="Times New Roman" w:cs="Times New Roman"/>
          <w:color w:val="FF0000"/>
          <w:sz w:val="28"/>
          <w:szCs w:val="28"/>
          <w:lang w:eastAsia="ru-RU"/>
        </w:rPr>
        <w:t>2. Реестр недобросовестных поставщиков</w:t>
      </w:r>
    </w:p>
    <w:p w:rsidR="00C2134F" w:rsidRPr="00D54C08" w:rsidRDefault="00C2134F" w:rsidP="00C2134F">
      <w:pPr>
        <w:tabs>
          <w:tab w:val="num" w:pos="142"/>
        </w:tabs>
        <w:spacing w:after="0" w:line="240" w:lineRule="auto"/>
        <w:jc w:val="both"/>
        <w:rPr>
          <w:rFonts w:ascii="Times New Roman" w:eastAsia="Times New Roman" w:hAnsi="Times New Roman" w:cs="Times New Roman"/>
          <w:color w:val="FF0000"/>
          <w:sz w:val="28"/>
          <w:szCs w:val="28"/>
          <w:lang w:eastAsia="ru-RU"/>
        </w:rPr>
      </w:pPr>
      <w:r w:rsidRPr="00D54C08">
        <w:rPr>
          <w:rFonts w:ascii="Times New Roman" w:eastAsia="Times New Roman" w:hAnsi="Times New Roman" w:cs="Times New Roman"/>
          <w:color w:val="FF0000"/>
          <w:sz w:val="28"/>
          <w:szCs w:val="28"/>
          <w:lang w:eastAsia="ru-RU"/>
        </w:rPr>
        <w:t>3. Реестр банковских гарантий</w:t>
      </w:r>
    </w:p>
    <w:p w:rsidR="00C2134F" w:rsidRPr="00C2134F" w:rsidRDefault="00C2134F" w:rsidP="00C2134F">
      <w:pPr>
        <w:tabs>
          <w:tab w:val="num" w:pos="142"/>
        </w:tabs>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5 </w:t>
      </w:r>
      <w:r w:rsidRPr="00C2134F">
        <w:rPr>
          <w:rFonts w:ascii="Times New Roman" w:eastAsia="Times New Roman" w:hAnsi="Times New Roman" w:cs="Times New Roman"/>
          <w:sz w:val="28"/>
          <w:szCs w:val="28"/>
          <w:lang w:eastAsia="ru-RU"/>
        </w:rPr>
        <w:tab/>
        <w:t>Календарный план</w:t>
      </w:r>
    </w:p>
    <w:p w:rsidR="00C2134F" w:rsidRPr="00C2134F" w:rsidRDefault="00C2134F" w:rsidP="00C2134F">
      <w:pPr>
        <w:tabs>
          <w:tab w:val="num" w:pos="0"/>
        </w:tabs>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ab/>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0"/>
        <w:gridCol w:w="2903"/>
      </w:tblGrid>
      <w:tr w:rsidR="00C2134F" w:rsidRPr="00C2134F" w:rsidTr="00FD51BC">
        <w:tc>
          <w:tcPr>
            <w:tcW w:w="7020"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r w:rsidRPr="00C2134F">
              <w:rPr>
                <w:rFonts w:ascii="Times New Roman" w:eastAsia="Times New Roman" w:hAnsi="Times New Roman" w:cs="Times New Roman"/>
                <w:sz w:val="24"/>
                <w:szCs w:val="24"/>
                <w:lang w:eastAsia="ru-RU"/>
              </w:rPr>
              <w:t>Разделы научно-исследовательской работы</w:t>
            </w:r>
          </w:p>
        </w:tc>
        <w:tc>
          <w:tcPr>
            <w:tcW w:w="2903"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r w:rsidRPr="00C2134F">
              <w:rPr>
                <w:rFonts w:ascii="Times New Roman" w:eastAsia="Times New Roman" w:hAnsi="Times New Roman" w:cs="Times New Roman"/>
                <w:sz w:val="24"/>
                <w:szCs w:val="24"/>
                <w:lang w:eastAsia="ru-RU"/>
              </w:rPr>
              <w:t>Дата выполнения</w:t>
            </w:r>
          </w:p>
        </w:tc>
      </w:tr>
      <w:tr w:rsidR="00C2134F" w:rsidRPr="00C2134F" w:rsidTr="00FD51BC">
        <w:tc>
          <w:tcPr>
            <w:tcW w:w="7020" w:type="dxa"/>
          </w:tcPr>
          <w:p w:rsidR="00C2134F" w:rsidRPr="00C2134F" w:rsidRDefault="00C2134F" w:rsidP="00E04D86">
            <w:pPr>
              <w:numPr>
                <w:ilvl w:val="0"/>
                <w:numId w:val="3"/>
              </w:numPr>
              <w:spacing w:after="0" w:line="240" w:lineRule="auto"/>
              <w:ind w:left="142" w:hanging="11"/>
              <w:rPr>
                <w:rFonts w:ascii="Times New Roman" w:eastAsia="Times New Roman" w:hAnsi="Times New Roman" w:cs="Times New Roman"/>
                <w:sz w:val="24"/>
                <w:szCs w:val="24"/>
                <w:lang w:eastAsia="ru-RU"/>
              </w:rPr>
            </w:pPr>
            <w:r w:rsidRPr="00C2134F">
              <w:rPr>
                <w:rFonts w:ascii="Times New Roman" w:eastAsia="Times New Roman" w:hAnsi="Times New Roman" w:cs="Times New Roman"/>
                <w:sz w:val="24"/>
                <w:szCs w:val="24"/>
                <w:lang w:eastAsia="ru-RU"/>
              </w:rPr>
              <w:t>Выбор темы НИР</w:t>
            </w:r>
          </w:p>
        </w:tc>
        <w:tc>
          <w:tcPr>
            <w:tcW w:w="2903"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r w:rsidRPr="00C2134F">
              <w:rPr>
                <w:rFonts w:ascii="Times New Roman" w:eastAsia="Times New Roman" w:hAnsi="Times New Roman" w:cs="Times New Roman"/>
                <w:sz w:val="24"/>
                <w:szCs w:val="24"/>
                <w:lang w:eastAsia="ru-RU"/>
              </w:rPr>
              <w:t>00______20  г.</w:t>
            </w:r>
          </w:p>
        </w:tc>
      </w:tr>
      <w:tr w:rsidR="00C2134F" w:rsidRPr="00C2134F" w:rsidTr="00FD51BC">
        <w:tc>
          <w:tcPr>
            <w:tcW w:w="7020" w:type="dxa"/>
          </w:tcPr>
          <w:p w:rsidR="00C2134F" w:rsidRPr="00C2134F" w:rsidRDefault="00C2134F" w:rsidP="00E04D86">
            <w:pPr>
              <w:numPr>
                <w:ilvl w:val="0"/>
                <w:numId w:val="3"/>
              </w:numPr>
              <w:spacing w:after="0" w:line="240" w:lineRule="auto"/>
              <w:ind w:left="142" w:hanging="11"/>
              <w:jc w:val="center"/>
              <w:rPr>
                <w:rFonts w:ascii="Times New Roman" w:eastAsia="Times New Roman" w:hAnsi="Times New Roman" w:cs="Times New Roman"/>
                <w:sz w:val="24"/>
                <w:szCs w:val="24"/>
                <w:lang w:eastAsia="ru-RU"/>
              </w:rPr>
            </w:pPr>
            <w:r w:rsidRPr="00C2134F">
              <w:rPr>
                <w:rFonts w:ascii="Times New Roman" w:eastAsia="Times New Roman" w:hAnsi="Times New Roman" w:cs="Times New Roman"/>
                <w:sz w:val="24"/>
                <w:szCs w:val="24"/>
                <w:lang w:eastAsia="ru-RU"/>
              </w:rPr>
              <w:t>Анализ нормативных пра</w:t>
            </w:r>
            <w:r w:rsidR="00E04D86">
              <w:rPr>
                <w:rFonts w:ascii="Times New Roman" w:eastAsia="Times New Roman" w:hAnsi="Times New Roman" w:cs="Times New Roman"/>
                <w:sz w:val="24"/>
                <w:szCs w:val="24"/>
                <w:lang w:eastAsia="ru-RU"/>
              </w:rPr>
              <w:t xml:space="preserve">вовых актов, судебной практики, </w:t>
            </w:r>
            <w:r w:rsidRPr="00C2134F">
              <w:rPr>
                <w:rFonts w:ascii="Times New Roman" w:eastAsia="Times New Roman" w:hAnsi="Times New Roman" w:cs="Times New Roman"/>
                <w:sz w:val="24"/>
                <w:szCs w:val="24"/>
                <w:lang w:eastAsia="ru-RU"/>
              </w:rPr>
              <w:t>литературы по теме исследования</w:t>
            </w:r>
          </w:p>
        </w:tc>
        <w:tc>
          <w:tcPr>
            <w:tcW w:w="2903"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p>
        </w:tc>
      </w:tr>
      <w:tr w:rsidR="00C2134F" w:rsidRPr="00C2134F" w:rsidTr="00FD51BC">
        <w:tc>
          <w:tcPr>
            <w:tcW w:w="7020" w:type="dxa"/>
          </w:tcPr>
          <w:p w:rsidR="00C2134F" w:rsidRPr="00C2134F" w:rsidRDefault="00C2134F" w:rsidP="00E04D86">
            <w:pPr>
              <w:numPr>
                <w:ilvl w:val="0"/>
                <w:numId w:val="3"/>
              </w:numPr>
              <w:spacing w:after="0" w:line="240" w:lineRule="auto"/>
              <w:ind w:left="142" w:hanging="11"/>
              <w:jc w:val="center"/>
              <w:rPr>
                <w:rFonts w:ascii="Times New Roman" w:eastAsia="Times New Roman" w:hAnsi="Times New Roman" w:cs="Times New Roman"/>
                <w:sz w:val="24"/>
                <w:szCs w:val="24"/>
                <w:lang w:eastAsia="ru-RU"/>
              </w:rPr>
            </w:pPr>
            <w:r w:rsidRPr="00C2134F">
              <w:rPr>
                <w:rFonts w:ascii="Times New Roman" w:eastAsia="Times New Roman" w:hAnsi="Times New Roman" w:cs="Times New Roman"/>
                <w:sz w:val="24"/>
                <w:szCs w:val="24"/>
                <w:lang w:eastAsia="ru-RU"/>
              </w:rPr>
              <w:t>Составление плана  выпускной квалификационной работы</w:t>
            </w:r>
          </w:p>
        </w:tc>
        <w:tc>
          <w:tcPr>
            <w:tcW w:w="2903"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p>
        </w:tc>
      </w:tr>
      <w:tr w:rsidR="00C2134F" w:rsidRPr="00C2134F" w:rsidTr="00FD51BC">
        <w:tc>
          <w:tcPr>
            <w:tcW w:w="7020" w:type="dxa"/>
          </w:tcPr>
          <w:p w:rsidR="00C2134F" w:rsidRPr="00C2134F" w:rsidRDefault="00C2134F" w:rsidP="00E04D86">
            <w:pPr>
              <w:numPr>
                <w:ilvl w:val="0"/>
                <w:numId w:val="3"/>
              </w:numPr>
              <w:spacing w:after="0" w:line="240" w:lineRule="auto"/>
              <w:ind w:left="142" w:hanging="11"/>
              <w:jc w:val="center"/>
              <w:rPr>
                <w:rFonts w:ascii="Times New Roman" w:eastAsia="Times New Roman" w:hAnsi="Times New Roman" w:cs="Times New Roman"/>
                <w:sz w:val="24"/>
                <w:szCs w:val="24"/>
                <w:lang w:eastAsia="ru-RU"/>
              </w:rPr>
            </w:pPr>
            <w:r w:rsidRPr="00C2134F">
              <w:rPr>
                <w:rFonts w:ascii="Times New Roman" w:eastAsia="Times New Roman" w:hAnsi="Times New Roman" w:cs="Times New Roman"/>
                <w:sz w:val="24"/>
                <w:szCs w:val="24"/>
                <w:lang w:eastAsia="ru-RU"/>
              </w:rPr>
              <w:t>Написание научно-исследовательской работы в форме эссе</w:t>
            </w:r>
          </w:p>
        </w:tc>
        <w:tc>
          <w:tcPr>
            <w:tcW w:w="2903"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p>
        </w:tc>
      </w:tr>
      <w:tr w:rsidR="00C2134F" w:rsidRPr="00C2134F" w:rsidTr="00FD51BC">
        <w:tc>
          <w:tcPr>
            <w:tcW w:w="7020" w:type="dxa"/>
          </w:tcPr>
          <w:p w:rsidR="00C2134F" w:rsidRPr="00C2134F" w:rsidRDefault="00E04D86" w:rsidP="00E04D86">
            <w:pPr>
              <w:spacing w:after="0" w:line="240" w:lineRule="auto"/>
              <w:ind w:left="142"/>
              <w:rPr>
                <w:rFonts w:ascii="Times New Roman" w:eastAsia="Times New Roman" w:hAnsi="Times New Roman" w:cs="Times New Roman"/>
                <w:sz w:val="24"/>
                <w:szCs w:val="24"/>
                <w:lang w:eastAsia="ru-RU"/>
              </w:rPr>
            </w:pPr>
            <w:r w:rsidRPr="00E04D86">
              <w:rPr>
                <w:rFonts w:ascii="Times New Roman" w:eastAsia="Times New Roman" w:hAnsi="Times New Roman" w:cs="Times New Roman"/>
                <w:sz w:val="24"/>
                <w:szCs w:val="24"/>
                <w:lang w:eastAsia="ru-RU"/>
              </w:rPr>
              <w:t xml:space="preserve">5.      </w:t>
            </w:r>
            <w:r w:rsidR="00C2134F" w:rsidRPr="00C2134F">
              <w:rPr>
                <w:rFonts w:ascii="Times New Roman" w:eastAsia="Times New Roman" w:hAnsi="Times New Roman" w:cs="Times New Roman"/>
                <w:sz w:val="24"/>
                <w:szCs w:val="24"/>
                <w:lang w:eastAsia="ru-RU"/>
              </w:rPr>
              <w:t>Сдача на проверку научно-исследовательской работы</w:t>
            </w:r>
          </w:p>
        </w:tc>
        <w:tc>
          <w:tcPr>
            <w:tcW w:w="2903"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p>
        </w:tc>
      </w:tr>
      <w:tr w:rsidR="00C2134F" w:rsidRPr="00C2134F" w:rsidTr="00FD51BC">
        <w:tc>
          <w:tcPr>
            <w:tcW w:w="7020" w:type="dxa"/>
          </w:tcPr>
          <w:p w:rsidR="00C2134F" w:rsidRPr="00E04D86" w:rsidRDefault="00E04D86" w:rsidP="00E04D86">
            <w:pPr>
              <w:pStyle w:val="a7"/>
              <w:numPr>
                <w:ilvl w:val="0"/>
                <w:numId w:val="8"/>
              </w:numPr>
              <w:spacing w:after="0" w:line="240" w:lineRule="auto"/>
              <w:rPr>
                <w:rFonts w:ascii="Times New Roman" w:eastAsia="Times New Roman" w:hAnsi="Times New Roman" w:cs="Times New Roman"/>
                <w:sz w:val="24"/>
                <w:szCs w:val="24"/>
                <w:lang w:eastAsia="ru-RU"/>
              </w:rPr>
            </w:pPr>
            <w:r w:rsidRPr="00E04D86">
              <w:rPr>
                <w:rFonts w:ascii="Times New Roman" w:eastAsia="Times New Roman" w:hAnsi="Times New Roman" w:cs="Times New Roman"/>
                <w:sz w:val="24"/>
                <w:szCs w:val="24"/>
                <w:lang w:eastAsia="ru-RU"/>
              </w:rPr>
              <w:t xml:space="preserve">   </w:t>
            </w:r>
            <w:r w:rsidR="00C2134F" w:rsidRPr="00E04D86">
              <w:rPr>
                <w:rFonts w:ascii="Times New Roman" w:eastAsia="Times New Roman" w:hAnsi="Times New Roman" w:cs="Times New Roman"/>
                <w:sz w:val="24"/>
                <w:szCs w:val="24"/>
                <w:lang w:eastAsia="ru-RU"/>
              </w:rPr>
              <w:t xml:space="preserve">Защита </w:t>
            </w:r>
            <w:r>
              <w:rPr>
                <w:rFonts w:ascii="Times New Roman" w:eastAsia="Times New Roman" w:hAnsi="Times New Roman" w:cs="Times New Roman"/>
                <w:sz w:val="24"/>
                <w:szCs w:val="24"/>
                <w:lang w:eastAsia="ru-RU"/>
              </w:rPr>
              <w:t>отчета по научно-исследовательской работе</w:t>
            </w:r>
          </w:p>
        </w:tc>
        <w:tc>
          <w:tcPr>
            <w:tcW w:w="2903" w:type="dxa"/>
          </w:tcPr>
          <w:p w:rsidR="00C2134F" w:rsidRPr="00C2134F" w:rsidRDefault="00C2134F" w:rsidP="00C2134F">
            <w:pPr>
              <w:spacing w:after="0" w:line="240" w:lineRule="auto"/>
              <w:jc w:val="center"/>
              <w:rPr>
                <w:rFonts w:ascii="Times New Roman" w:eastAsia="Times New Roman" w:hAnsi="Times New Roman" w:cs="Times New Roman"/>
                <w:sz w:val="24"/>
                <w:szCs w:val="24"/>
                <w:lang w:eastAsia="ru-RU"/>
              </w:rPr>
            </w:pPr>
          </w:p>
        </w:tc>
      </w:tr>
    </w:tbl>
    <w:p w:rsidR="00C2134F" w:rsidRPr="00C2134F" w:rsidRDefault="00C2134F" w:rsidP="00C2134F">
      <w:pPr>
        <w:spacing w:after="0" w:line="240" w:lineRule="auto"/>
        <w:ind w:left="720"/>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ab/>
      </w:r>
      <w:r w:rsidRPr="00C2134F">
        <w:rPr>
          <w:rFonts w:ascii="Times New Roman" w:eastAsia="Times New Roman" w:hAnsi="Times New Roman" w:cs="Times New Roman"/>
          <w:sz w:val="28"/>
          <w:szCs w:val="28"/>
          <w:lang w:eastAsia="ru-RU"/>
        </w:rPr>
        <w:tab/>
      </w:r>
    </w:p>
    <w:p w:rsidR="00C2134F" w:rsidRPr="00C2134F" w:rsidRDefault="00C2134F" w:rsidP="00C2134F">
      <w:pPr>
        <w:spacing w:after="0" w:line="240" w:lineRule="auto"/>
        <w:ind w:left="-567"/>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Руководитель работы, </w:t>
      </w:r>
      <w:proofErr w:type="spellStart"/>
      <w:r w:rsidRPr="00C2134F">
        <w:rPr>
          <w:rFonts w:ascii="Times New Roman" w:eastAsia="Times New Roman" w:hAnsi="Times New Roman" w:cs="Times New Roman"/>
          <w:sz w:val="28"/>
          <w:szCs w:val="28"/>
          <w:lang w:eastAsia="ru-RU"/>
        </w:rPr>
        <w:t>докт</w:t>
      </w:r>
      <w:proofErr w:type="spellEnd"/>
      <w:r w:rsidRPr="00C2134F">
        <w:rPr>
          <w:rFonts w:ascii="Times New Roman" w:eastAsia="Times New Roman" w:hAnsi="Times New Roman" w:cs="Times New Roman"/>
          <w:sz w:val="28"/>
          <w:szCs w:val="28"/>
          <w:lang w:eastAsia="ru-RU"/>
        </w:rPr>
        <w:t xml:space="preserve">. </w:t>
      </w:r>
      <w:proofErr w:type="spellStart"/>
      <w:r w:rsidRPr="00C2134F">
        <w:rPr>
          <w:rFonts w:ascii="Times New Roman" w:eastAsia="Times New Roman" w:hAnsi="Times New Roman" w:cs="Times New Roman"/>
          <w:sz w:val="28"/>
          <w:szCs w:val="28"/>
          <w:lang w:eastAsia="ru-RU"/>
        </w:rPr>
        <w:t>юрид</w:t>
      </w:r>
      <w:proofErr w:type="spellEnd"/>
      <w:r w:rsidRPr="00C2134F">
        <w:rPr>
          <w:rFonts w:ascii="Times New Roman" w:eastAsia="Times New Roman" w:hAnsi="Times New Roman" w:cs="Times New Roman"/>
          <w:sz w:val="28"/>
          <w:szCs w:val="28"/>
          <w:lang w:eastAsia="ru-RU"/>
        </w:rPr>
        <w:t>. наук, проф. В.В. Кванина ______________________________                            _______________ 20__ г</w:t>
      </w:r>
    </w:p>
    <w:p w:rsidR="00C2134F" w:rsidRPr="00C2134F" w:rsidRDefault="00C2134F" w:rsidP="00C2134F">
      <w:pPr>
        <w:spacing w:after="0" w:line="240" w:lineRule="auto"/>
        <w:jc w:val="both"/>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ab/>
      </w:r>
    </w:p>
    <w:p w:rsidR="00C2134F" w:rsidRPr="00C2134F" w:rsidRDefault="00C2134F" w:rsidP="00C2134F">
      <w:pPr>
        <w:spacing w:after="0" w:line="240" w:lineRule="auto"/>
        <w:ind w:left="-567"/>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Автор работы, студент группы Ю-140                                                     Иванов И.И.</w:t>
      </w:r>
      <w:r w:rsidRPr="00C2134F">
        <w:rPr>
          <w:rFonts w:ascii="Times New Roman" w:eastAsia="Times New Roman" w:hAnsi="Times New Roman" w:cs="Times New Roman"/>
          <w:sz w:val="28"/>
          <w:szCs w:val="28"/>
          <w:lang w:eastAsia="ru-RU"/>
        </w:rPr>
        <w:tab/>
      </w:r>
    </w:p>
    <w:p w:rsidR="00C2134F" w:rsidRPr="00C2134F" w:rsidRDefault="00C2134F" w:rsidP="00C2134F">
      <w:pPr>
        <w:spacing w:after="0" w:line="240" w:lineRule="auto"/>
        <w:ind w:left="-567"/>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________________________________                  _______________________ 20__ г.</w:t>
      </w:r>
    </w:p>
    <w:p w:rsidR="00C2134F" w:rsidRPr="00C2134F" w:rsidRDefault="00C2134F" w:rsidP="00C2134F">
      <w:pPr>
        <w:spacing w:after="0" w:line="240" w:lineRule="auto"/>
        <w:rPr>
          <w:rFonts w:ascii="Times New Roman" w:eastAsia="Times New Roman" w:hAnsi="Times New Roman" w:cs="Times New Roman"/>
          <w:sz w:val="28"/>
          <w:szCs w:val="28"/>
          <w:lang w:eastAsia="ru-RU"/>
        </w:rPr>
      </w:pPr>
      <w:r w:rsidRPr="00C2134F">
        <w:rPr>
          <w:rFonts w:ascii="Times New Roman" w:eastAsia="Times New Roman" w:hAnsi="Times New Roman" w:cs="Times New Roman"/>
          <w:sz w:val="28"/>
          <w:szCs w:val="28"/>
          <w:lang w:eastAsia="ru-RU"/>
        </w:rPr>
        <w:t xml:space="preserve"> </w:t>
      </w:r>
    </w:p>
    <w:p w:rsidR="00C2134F" w:rsidRDefault="00C2134F" w:rsidP="00C2134F">
      <w:pPr>
        <w:spacing w:after="0" w:line="240" w:lineRule="auto"/>
        <w:jc w:val="center"/>
        <w:rPr>
          <w:rFonts w:ascii="Times New Roman" w:eastAsia="Times New Roman" w:hAnsi="Times New Roman" w:cs="Times New Roman"/>
          <w:sz w:val="28"/>
          <w:szCs w:val="28"/>
          <w:lang w:eastAsia="ru-RU"/>
        </w:rPr>
      </w:pPr>
    </w:p>
    <w:p w:rsidR="00C2134F" w:rsidRPr="00C2134F" w:rsidRDefault="00C2134F" w:rsidP="00C2134F">
      <w:pPr>
        <w:spacing w:after="0" w:line="24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240" w:lineRule="auto"/>
        <w:contextualSpacing/>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2C585B" w:rsidRPr="002C585B" w:rsidRDefault="002C585B" w:rsidP="002C585B">
      <w:pPr>
        <w:spacing w:after="0" w:line="240" w:lineRule="auto"/>
        <w:contextualSpacing/>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Федеральное государственное автономное образовательное учреждение</w:t>
      </w:r>
    </w:p>
    <w:p w:rsidR="002C585B" w:rsidRPr="002C585B" w:rsidRDefault="002C585B" w:rsidP="002C585B">
      <w:pPr>
        <w:spacing w:after="0" w:line="240" w:lineRule="auto"/>
        <w:contextualSpacing/>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высшего образования</w:t>
      </w:r>
    </w:p>
    <w:p w:rsidR="002C585B" w:rsidRPr="002C585B" w:rsidRDefault="002C585B" w:rsidP="002C585B">
      <w:pPr>
        <w:spacing w:after="0" w:line="240" w:lineRule="auto"/>
        <w:contextualSpacing/>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«Южно-Уральский государственный университет»</w:t>
      </w:r>
    </w:p>
    <w:p w:rsidR="002C585B" w:rsidRPr="002C585B" w:rsidRDefault="002C585B" w:rsidP="002C585B">
      <w:pPr>
        <w:spacing w:after="0" w:line="240" w:lineRule="auto"/>
        <w:contextualSpacing/>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(национальный исследовательский университет)</w:t>
      </w: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Юридический институт</w:t>
      </w: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Кафедра </w:t>
      </w:r>
      <w:r w:rsidRPr="002C585B">
        <w:rPr>
          <w:rFonts w:ascii="Times New Roman" w:eastAsia="Times New Roman" w:hAnsi="Times New Roman" w:cs="Times New Roman"/>
          <w:sz w:val="28"/>
          <w:szCs w:val="28"/>
          <w:lang w:eastAsia="ru-RU"/>
        </w:rPr>
        <w:tab/>
        <w:t>«Предпринимательское, конкурентное и экологическое право»</w:t>
      </w: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240" w:lineRule="auto"/>
        <w:jc w:val="center"/>
        <w:rPr>
          <w:rFonts w:ascii="Times New Roman" w:eastAsia="Times New Roman" w:hAnsi="Times New Roman" w:cs="Times New Roman"/>
          <w:caps/>
          <w:sz w:val="28"/>
          <w:szCs w:val="28"/>
          <w:lang w:eastAsia="ru-RU"/>
        </w:rPr>
      </w:pPr>
      <w:r w:rsidRPr="002C585B">
        <w:rPr>
          <w:rFonts w:ascii="Times New Roman" w:eastAsia="Times New Roman" w:hAnsi="Times New Roman" w:cs="Times New Roman"/>
          <w:caps/>
          <w:sz w:val="28"/>
          <w:szCs w:val="28"/>
          <w:lang w:eastAsia="ru-RU"/>
        </w:rPr>
        <w:t>НАУЧНО-ИССЛЕДОВАТЕЛЬСКАЯ РАБОТА</w:t>
      </w:r>
    </w:p>
    <w:p w:rsidR="002C585B" w:rsidRPr="002C585B" w:rsidRDefault="002C585B" w:rsidP="002C585B">
      <w:pPr>
        <w:spacing w:after="0" w:line="240" w:lineRule="auto"/>
        <w:jc w:val="center"/>
        <w:rPr>
          <w:rFonts w:ascii="Times New Roman" w:eastAsia="Times New Roman" w:hAnsi="Times New Roman" w:cs="Times New Roman"/>
          <w:caps/>
          <w:sz w:val="28"/>
          <w:szCs w:val="28"/>
          <w:lang w:eastAsia="ru-RU"/>
        </w:rPr>
      </w:pPr>
    </w:p>
    <w:p w:rsidR="002C585B" w:rsidRPr="002C585B" w:rsidRDefault="002C585B" w:rsidP="002C585B">
      <w:pPr>
        <w:spacing w:after="0" w:line="240" w:lineRule="auto"/>
        <w:jc w:val="center"/>
        <w:rPr>
          <w:rFonts w:ascii="Times New Roman" w:eastAsia="Times New Roman" w:hAnsi="Times New Roman" w:cs="Times New Roman"/>
          <w:caps/>
          <w:sz w:val="28"/>
          <w:szCs w:val="28"/>
          <w:lang w:eastAsia="ru-RU"/>
        </w:rPr>
      </w:pPr>
      <w:r w:rsidRPr="002C585B">
        <w:rPr>
          <w:rFonts w:ascii="Times New Roman" w:eastAsia="Times New Roman" w:hAnsi="Times New Roman" w:cs="Times New Roman"/>
          <w:sz w:val="28"/>
          <w:szCs w:val="28"/>
          <w:lang w:eastAsia="ru-RU"/>
        </w:rPr>
        <w:t>АНТИКОНКУРЕНТНЫЕ СОГЛАШЕНИЯ НА ТОВАРНЫХ РЫНКАХ</w:t>
      </w:r>
    </w:p>
    <w:p w:rsidR="002C585B" w:rsidRPr="002C585B" w:rsidRDefault="002C585B" w:rsidP="002C585B">
      <w:pPr>
        <w:spacing w:after="0" w:line="240" w:lineRule="auto"/>
        <w:jc w:val="center"/>
        <w:rPr>
          <w:rFonts w:ascii="Times New Roman" w:eastAsia="Times New Roman" w:hAnsi="Times New Roman" w:cs="Times New Roman"/>
          <w:caps/>
          <w:sz w:val="28"/>
          <w:szCs w:val="28"/>
          <w:lang w:eastAsia="ru-RU"/>
        </w:rPr>
      </w:pPr>
    </w:p>
    <w:p w:rsidR="002C585B" w:rsidRPr="002C585B" w:rsidRDefault="002C585B" w:rsidP="002C585B">
      <w:pPr>
        <w:spacing w:after="0" w:line="240" w:lineRule="auto"/>
        <w:jc w:val="center"/>
        <w:rPr>
          <w:rFonts w:ascii="Times New Roman" w:eastAsia="Times New Roman" w:hAnsi="Times New Roman" w:cs="Times New Roman"/>
          <w:caps/>
          <w:sz w:val="28"/>
          <w:szCs w:val="28"/>
          <w:lang w:eastAsia="ru-RU"/>
        </w:rPr>
      </w:pPr>
      <w:r w:rsidRPr="002C585B">
        <w:rPr>
          <w:rFonts w:ascii="Times New Roman" w:eastAsia="Times New Roman" w:hAnsi="Times New Roman" w:cs="Times New Roman"/>
          <w:caps/>
          <w:sz w:val="28"/>
          <w:szCs w:val="28"/>
          <w:lang w:eastAsia="ru-RU"/>
        </w:rPr>
        <w:t>ФГАОУ В</w:t>
      </w:r>
      <w:r w:rsidR="00C4330A">
        <w:rPr>
          <w:rFonts w:ascii="Times New Roman" w:eastAsia="Times New Roman" w:hAnsi="Times New Roman" w:cs="Times New Roman"/>
          <w:caps/>
          <w:sz w:val="28"/>
          <w:szCs w:val="28"/>
          <w:lang w:eastAsia="ru-RU"/>
        </w:rPr>
        <w:t xml:space="preserve">О «ЮУрГУ» (НИУ) – 40.04.01. </w:t>
      </w:r>
      <w:r w:rsidR="00C4330A" w:rsidRPr="00C4330A">
        <w:rPr>
          <w:rFonts w:ascii="Times New Roman" w:eastAsia="Times New Roman" w:hAnsi="Times New Roman" w:cs="Times New Roman"/>
          <w:caps/>
          <w:color w:val="FF0000"/>
          <w:sz w:val="28"/>
          <w:szCs w:val="28"/>
          <w:lang w:eastAsia="ru-RU"/>
        </w:rPr>
        <w:t>2017. 14</w:t>
      </w:r>
      <w:r w:rsidR="00C4330A">
        <w:rPr>
          <w:rFonts w:ascii="Times New Roman" w:eastAsia="Times New Roman" w:hAnsi="Times New Roman" w:cs="Times New Roman"/>
          <w:caps/>
          <w:color w:val="FF0000"/>
          <w:sz w:val="28"/>
          <w:szCs w:val="28"/>
          <w:lang w:eastAsia="ru-RU"/>
        </w:rPr>
        <w:t>0-</w:t>
      </w:r>
      <w:r w:rsidRPr="00C4330A">
        <w:rPr>
          <w:rFonts w:ascii="Times New Roman" w:eastAsia="Times New Roman" w:hAnsi="Times New Roman" w:cs="Times New Roman"/>
          <w:caps/>
          <w:color w:val="FF0000"/>
          <w:sz w:val="28"/>
          <w:szCs w:val="28"/>
          <w:lang w:eastAsia="ru-RU"/>
        </w:rPr>
        <w:t>ю</w:t>
      </w:r>
    </w:p>
    <w:p w:rsidR="002C585B" w:rsidRPr="002C585B" w:rsidRDefault="002C585B" w:rsidP="002C585B">
      <w:pPr>
        <w:spacing w:after="0" w:line="240" w:lineRule="auto"/>
        <w:jc w:val="center"/>
        <w:rPr>
          <w:rFonts w:ascii="Times New Roman" w:eastAsia="Calibri" w:hAnsi="Times New Roman" w:cs="Times New Roman"/>
          <w:sz w:val="24"/>
          <w:szCs w:val="24"/>
        </w:rPr>
      </w:pPr>
    </w:p>
    <w:p w:rsidR="002C585B" w:rsidRPr="002C585B" w:rsidRDefault="002C585B" w:rsidP="002C585B">
      <w:pPr>
        <w:spacing w:after="0" w:line="240" w:lineRule="auto"/>
        <w:ind w:left="5670"/>
        <w:rPr>
          <w:rFonts w:ascii="Times New Roman" w:eastAsia="Times New Roman" w:hAnsi="Times New Roman" w:cs="Times New Roman"/>
          <w:sz w:val="28"/>
          <w:szCs w:val="28"/>
          <w:lang w:eastAsia="ru-RU"/>
        </w:rPr>
      </w:pPr>
    </w:p>
    <w:p w:rsidR="002C585B" w:rsidRPr="002C585B" w:rsidRDefault="002C585B" w:rsidP="002C585B">
      <w:pPr>
        <w:spacing w:after="0" w:line="240" w:lineRule="auto"/>
        <w:ind w:left="5670"/>
        <w:rPr>
          <w:rFonts w:ascii="Times New Roman" w:eastAsia="Times New Roman" w:hAnsi="Times New Roman" w:cs="Times New Roman"/>
          <w:sz w:val="28"/>
          <w:szCs w:val="28"/>
          <w:lang w:eastAsia="ru-RU"/>
        </w:rPr>
      </w:pPr>
    </w:p>
    <w:p w:rsidR="002C585B" w:rsidRPr="002C585B" w:rsidRDefault="002C585B" w:rsidP="002C585B">
      <w:pPr>
        <w:spacing w:after="0" w:line="240" w:lineRule="auto"/>
        <w:ind w:left="5670"/>
        <w:rPr>
          <w:rFonts w:ascii="Times New Roman" w:eastAsia="Times New Roman" w:hAnsi="Times New Roman" w:cs="Times New Roman"/>
          <w:sz w:val="28"/>
          <w:szCs w:val="28"/>
          <w:lang w:eastAsia="ru-RU"/>
        </w:rPr>
      </w:pP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Научный руководитель, </w:t>
      </w: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д.ю.н., профессор</w:t>
      </w: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______________В.В. Кванина </w:t>
      </w: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___________________201___ г.</w:t>
      </w: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Автор работы,</w:t>
      </w:r>
    </w:p>
    <w:p w:rsidR="002C585B" w:rsidRPr="002C585B" w:rsidRDefault="00C4330A" w:rsidP="002C585B">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 группы </w:t>
      </w:r>
      <w:proofErr w:type="gramStart"/>
      <w:r w:rsidRPr="00C4330A">
        <w:rPr>
          <w:rFonts w:ascii="Times New Roman" w:eastAsia="Times New Roman" w:hAnsi="Times New Roman" w:cs="Times New Roman"/>
          <w:color w:val="FF0000"/>
          <w:sz w:val="28"/>
          <w:szCs w:val="28"/>
          <w:lang w:eastAsia="ru-RU"/>
        </w:rPr>
        <w:t>Ю</w:t>
      </w:r>
      <w:proofErr w:type="gramEnd"/>
      <w:r w:rsidRPr="00C4330A">
        <w:rPr>
          <w:rFonts w:ascii="Times New Roman" w:eastAsia="Times New Roman" w:hAnsi="Times New Roman" w:cs="Times New Roman"/>
          <w:color w:val="FF0000"/>
          <w:sz w:val="28"/>
          <w:szCs w:val="28"/>
          <w:lang w:eastAsia="ru-RU"/>
        </w:rPr>
        <w:t xml:space="preserve"> - 14</w:t>
      </w:r>
      <w:r w:rsidR="002C585B" w:rsidRPr="00C4330A">
        <w:rPr>
          <w:rFonts w:ascii="Times New Roman" w:eastAsia="Times New Roman" w:hAnsi="Times New Roman" w:cs="Times New Roman"/>
          <w:color w:val="FF0000"/>
          <w:sz w:val="28"/>
          <w:szCs w:val="28"/>
          <w:lang w:eastAsia="ru-RU"/>
        </w:rPr>
        <w:t>0</w:t>
      </w:r>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w:t>
      </w:r>
      <w:r w:rsidR="00C4330A">
        <w:rPr>
          <w:rFonts w:ascii="Times New Roman" w:eastAsia="Times New Roman" w:hAnsi="Times New Roman" w:cs="Times New Roman"/>
          <w:sz w:val="28"/>
          <w:szCs w:val="28"/>
          <w:lang w:eastAsia="ru-RU"/>
        </w:rPr>
        <w:t xml:space="preserve">             </w:t>
      </w:r>
      <w:proofErr w:type="spellStart"/>
      <w:r w:rsidR="00C4330A">
        <w:rPr>
          <w:rFonts w:ascii="Times New Roman" w:eastAsia="Times New Roman" w:hAnsi="Times New Roman" w:cs="Times New Roman"/>
          <w:sz w:val="28"/>
          <w:szCs w:val="28"/>
          <w:lang w:eastAsia="ru-RU"/>
        </w:rPr>
        <w:t>______________</w:t>
      </w:r>
      <w:r w:rsidR="00C4330A" w:rsidRPr="00C4330A">
        <w:rPr>
          <w:rFonts w:ascii="Times New Roman" w:eastAsia="Times New Roman" w:hAnsi="Times New Roman" w:cs="Times New Roman"/>
          <w:color w:val="FF0000"/>
          <w:sz w:val="28"/>
          <w:szCs w:val="28"/>
          <w:lang w:eastAsia="ru-RU"/>
        </w:rPr>
        <w:t>И.И.Иванов</w:t>
      </w:r>
      <w:proofErr w:type="spellEnd"/>
    </w:p>
    <w:p w:rsidR="002C585B" w:rsidRPr="002C585B" w:rsidRDefault="002C585B" w:rsidP="002C585B">
      <w:pPr>
        <w:spacing w:after="0" w:line="240" w:lineRule="auto"/>
        <w:ind w:left="5387"/>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___________________201__ г.</w:t>
      </w:r>
    </w:p>
    <w:p w:rsidR="002C585B" w:rsidRPr="002C585B" w:rsidRDefault="002C585B" w:rsidP="002C585B">
      <w:pPr>
        <w:spacing w:after="0" w:line="240" w:lineRule="auto"/>
        <w:ind w:left="5670"/>
        <w:rPr>
          <w:rFonts w:ascii="Times New Roman" w:eastAsia="Times New Roman" w:hAnsi="Times New Roman" w:cs="Times New Roman"/>
          <w:sz w:val="28"/>
          <w:szCs w:val="28"/>
          <w:lang w:eastAsia="ru-RU"/>
        </w:rPr>
      </w:pPr>
    </w:p>
    <w:p w:rsidR="002C585B" w:rsidRPr="002C585B" w:rsidRDefault="002C585B" w:rsidP="002C585B">
      <w:pPr>
        <w:spacing w:after="0" w:line="240" w:lineRule="auto"/>
        <w:jc w:val="right"/>
        <w:rPr>
          <w:rFonts w:ascii="Times New Roman" w:eastAsia="Calibri" w:hAnsi="Times New Roman" w:cs="Times New Roman"/>
          <w:sz w:val="24"/>
          <w:szCs w:val="24"/>
        </w:rPr>
      </w:pPr>
    </w:p>
    <w:p w:rsidR="002C585B" w:rsidRPr="002C585B" w:rsidRDefault="002C585B" w:rsidP="002C585B">
      <w:pPr>
        <w:spacing w:after="0" w:line="240" w:lineRule="auto"/>
        <w:jc w:val="right"/>
        <w:rPr>
          <w:rFonts w:ascii="Times New Roman" w:eastAsia="Calibri" w:hAnsi="Times New Roman" w:cs="Times New Roman"/>
          <w:sz w:val="24"/>
          <w:szCs w:val="24"/>
        </w:rPr>
      </w:pPr>
    </w:p>
    <w:p w:rsidR="002C585B" w:rsidRPr="002C585B" w:rsidRDefault="002C585B" w:rsidP="002C585B">
      <w:pPr>
        <w:spacing w:after="0" w:line="240" w:lineRule="auto"/>
        <w:rPr>
          <w:rFonts w:ascii="Times New Roman" w:eastAsia="Calibri" w:hAnsi="Times New Roman" w:cs="Times New Roman"/>
          <w:sz w:val="24"/>
          <w:szCs w:val="24"/>
        </w:rPr>
      </w:pPr>
    </w:p>
    <w:p w:rsidR="002C585B" w:rsidRPr="002C585B" w:rsidRDefault="002C585B" w:rsidP="002C585B">
      <w:pPr>
        <w:spacing w:after="0" w:line="240" w:lineRule="auto"/>
        <w:jc w:val="right"/>
        <w:rPr>
          <w:rFonts w:ascii="Times New Roman" w:eastAsia="Calibri" w:hAnsi="Times New Roman" w:cs="Times New Roman"/>
          <w:sz w:val="24"/>
          <w:szCs w:val="24"/>
        </w:rPr>
      </w:pPr>
    </w:p>
    <w:p w:rsidR="002C585B" w:rsidRPr="002C585B" w:rsidRDefault="002C585B" w:rsidP="002C585B">
      <w:pPr>
        <w:spacing w:after="0" w:line="240" w:lineRule="auto"/>
        <w:jc w:val="right"/>
        <w:rPr>
          <w:rFonts w:ascii="Times New Roman" w:eastAsia="Calibri" w:hAnsi="Times New Roman" w:cs="Times New Roman"/>
          <w:sz w:val="24"/>
          <w:szCs w:val="24"/>
        </w:rPr>
      </w:pP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Челябинск 201_</w:t>
      </w:r>
    </w:p>
    <w:p w:rsidR="002C585B" w:rsidRPr="002C585B" w:rsidRDefault="002C585B" w:rsidP="002C585B">
      <w:pPr>
        <w:spacing w:after="0" w:line="24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br w:type="page"/>
      </w:r>
    </w:p>
    <w:p w:rsidR="002C585B" w:rsidRPr="002C585B" w:rsidRDefault="002C585B" w:rsidP="002C585B">
      <w:pPr>
        <w:spacing w:after="0" w:line="240" w:lineRule="auto"/>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lastRenderedPageBreak/>
        <w:t>ОГЛАВЛЕНИЕ</w:t>
      </w: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roofErr w:type="gramStart"/>
      <w:r w:rsidRPr="002C585B">
        <w:rPr>
          <w:rFonts w:ascii="Times New Roman" w:eastAsia="Times New Roman" w:hAnsi="Times New Roman" w:cs="Times New Roman"/>
          <w:sz w:val="28"/>
          <w:szCs w:val="28"/>
          <w:lang w:val="en-US" w:eastAsia="ru-RU"/>
        </w:rPr>
        <w:t>I</w:t>
      </w:r>
      <w:r w:rsidRPr="002C585B">
        <w:rPr>
          <w:rFonts w:ascii="Times New Roman" w:eastAsia="Times New Roman" w:hAnsi="Times New Roman" w:cs="Times New Roman"/>
          <w:sz w:val="28"/>
          <w:szCs w:val="28"/>
          <w:lang w:eastAsia="ru-RU"/>
        </w:rPr>
        <w:t xml:space="preserve">  ЭССЕ</w:t>
      </w:r>
      <w:proofErr w:type="gramEnd"/>
      <w:r w:rsidRPr="002C585B">
        <w:rPr>
          <w:rFonts w:ascii="Times New Roman" w:eastAsia="Times New Roman" w:hAnsi="Times New Roman" w:cs="Times New Roman"/>
          <w:sz w:val="28"/>
          <w:szCs w:val="28"/>
          <w:lang w:eastAsia="ru-RU"/>
        </w:rPr>
        <w:t xml:space="preserve">  ………………………………………………………….………………...</w:t>
      </w: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Default="002C585B" w:rsidP="002C585B">
      <w:pPr>
        <w:spacing w:after="0" w:line="240" w:lineRule="auto"/>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val="en-US" w:eastAsia="ru-RU"/>
        </w:rPr>
        <w:t>II</w:t>
      </w:r>
      <w:r w:rsidRPr="002C585B">
        <w:rPr>
          <w:rFonts w:ascii="Times New Roman" w:eastAsia="Times New Roman" w:hAnsi="Times New Roman" w:cs="Times New Roman"/>
          <w:sz w:val="28"/>
          <w:szCs w:val="28"/>
          <w:lang w:eastAsia="ru-RU"/>
        </w:rPr>
        <w:t xml:space="preserve"> </w:t>
      </w:r>
      <w:r w:rsidR="000A3EA1">
        <w:rPr>
          <w:rFonts w:ascii="Times New Roman" w:eastAsia="Times New Roman" w:hAnsi="Times New Roman" w:cs="Times New Roman"/>
          <w:sz w:val="28"/>
          <w:szCs w:val="28"/>
          <w:lang w:eastAsia="ru-RU"/>
        </w:rPr>
        <w:t>БИБЛИОГР</w:t>
      </w:r>
      <w:r w:rsidR="00E04D86">
        <w:rPr>
          <w:rFonts w:ascii="Times New Roman" w:eastAsia="Times New Roman" w:hAnsi="Times New Roman" w:cs="Times New Roman"/>
          <w:sz w:val="28"/>
          <w:szCs w:val="28"/>
          <w:lang w:eastAsia="ru-RU"/>
        </w:rPr>
        <w:t>А</w:t>
      </w:r>
      <w:r w:rsidR="000A3EA1">
        <w:rPr>
          <w:rFonts w:ascii="Times New Roman" w:eastAsia="Times New Roman" w:hAnsi="Times New Roman" w:cs="Times New Roman"/>
          <w:sz w:val="28"/>
          <w:szCs w:val="28"/>
          <w:lang w:eastAsia="ru-RU"/>
        </w:rPr>
        <w:t>ФИЧЕСКИЙ СПИСОК …………………………………………</w:t>
      </w:r>
    </w:p>
    <w:p w:rsidR="000A3EA1" w:rsidRDefault="000A3EA1" w:rsidP="002C585B">
      <w:pPr>
        <w:spacing w:after="0" w:line="240" w:lineRule="auto"/>
        <w:rPr>
          <w:rFonts w:ascii="Times New Roman" w:eastAsia="Times New Roman" w:hAnsi="Times New Roman" w:cs="Times New Roman"/>
          <w:sz w:val="28"/>
          <w:szCs w:val="28"/>
          <w:lang w:eastAsia="ru-RU"/>
        </w:rPr>
      </w:pPr>
    </w:p>
    <w:p w:rsidR="000A3EA1" w:rsidRPr="000A3EA1" w:rsidRDefault="000A3EA1" w:rsidP="002C58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Pr="000A3EA1">
        <w:rPr>
          <w:rFonts w:ascii="Times New Roman" w:eastAsia="Times New Roman" w:hAnsi="Times New Roman" w:cs="Times New Roman"/>
          <w:sz w:val="28"/>
          <w:szCs w:val="28"/>
          <w:lang w:eastAsia="ru-RU"/>
        </w:rPr>
        <w:t xml:space="preserve"> </w:t>
      </w:r>
      <w:r w:rsidRPr="002C585B">
        <w:rPr>
          <w:rFonts w:ascii="Times New Roman" w:eastAsia="Times New Roman" w:hAnsi="Times New Roman" w:cs="Times New Roman"/>
          <w:sz w:val="28"/>
          <w:szCs w:val="28"/>
          <w:lang w:eastAsia="ru-RU"/>
        </w:rPr>
        <w:t>ПЛАН ВЫПУСКНОЙ КВАЛИФИКАЦИОННОЙ РАБОТЫ……………….</w:t>
      </w: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240" w:lineRule="auto"/>
        <w:rPr>
          <w:rFonts w:ascii="Times New Roman" w:eastAsia="Times New Roman" w:hAnsi="Times New Roman" w:cs="Times New Roman"/>
          <w:sz w:val="28"/>
          <w:szCs w:val="28"/>
          <w:lang w:eastAsia="ru-RU"/>
        </w:rPr>
      </w:pPr>
    </w:p>
    <w:p w:rsidR="002C585B" w:rsidRPr="002C585B" w:rsidRDefault="002C585B" w:rsidP="002C585B">
      <w:pPr>
        <w:spacing w:after="0" w:line="36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360" w:lineRule="auto"/>
        <w:jc w:val="center"/>
        <w:rPr>
          <w:rFonts w:ascii="Times New Roman" w:eastAsia="Times New Roman" w:hAnsi="Times New Roman" w:cs="Times New Roman"/>
          <w:sz w:val="28"/>
          <w:szCs w:val="28"/>
          <w:lang w:eastAsia="ru-RU"/>
        </w:rPr>
      </w:pPr>
    </w:p>
    <w:p w:rsidR="002C585B" w:rsidRPr="002C585B" w:rsidRDefault="002C585B" w:rsidP="002C585B">
      <w:pPr>
        <w:spacing w:after="0" w:line="360" w:lineRule="auto"/>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val="en-US" w:eastAsia="ru-RU"/>
        </w:rPr>
        <w:t>I</w:t>
      </w:r>
      <w:r w:rsidRPr="002C585B">
        <w:rPr>
          <w:rFonts w:ascii="Times New Roman" w:eastAsia="Times New Roman" w:hAnsi="Times New Roman" w:cs="Times New Roman"/>
          <w:sz w:val="28"/>
          <w:szCs w:val="28"/>
          <w:lang w:eastAsia="ru-RU"/>
        </w:rPr>
        <w:t xml:space="preserve"> ЭССЕ НА ТЕМУ «АКТУАЛЬНЫЕ ПРОБЛЕМЫ ВЫЯВЛЕНИЯ И ПРЕСЕЧЕНИЯ АНТИКОНКУРЕНТНЫХ СОГЛАШЕНИЙ НА ТОВАРНЫХ РЫНКАХ»</w:t>
      </w:r>
    </w:p>
    <w:p w:rsidR="002C585B" w:rsidRPr="002C585B" w:rsidRDefault="002C585B" w:rsidP="002C585B">
      <w:pPr>
        <w:spacing w:after="0" w:line="360" w:lineRule="auto"/>
        <w:jc w:val="both"/>
        <w:rPr>
          <w:rFonts w:ascii="Times New Roman" w:eastAsia="Times New Roman" w:hAnsi="Times New Roman" w:cs="Times New Roman"/>
          <w:sz w:val="28"/>
          <w:szCs w:val="28"/>
          <w:lang w:eastAsia="ru-RU"/>
        </w:rPr>
      </w:pPr>
    </w:p>
    <w:p w:rsidR="002C585B" w:rsidRPr="002C585B" w:rsidRDefault="002C585B" w:rsidP="002C585B">
      <w:pPr>
        <w:spacing w:after="0" w:line="360" w:lineRule="auto"/>
        <w:ind w:firstLine="708"/>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Конкуренция − необходимое условие эффективного функционирования экономики в условиях рынка. Монополизация экономики приводит к отрицательным </w:t>
      </w:r>
      <w:proofErr w:type="gramStart"/>
      <w:r w:rsidRPr="002C585B">
        <w:rPr>
          <w:rFonts w:ascii="Times New Roman" w:eastAsia="Times New Roman" w:hAnsi="Times New Roman" w:cs="Times New Roman"/>
          <w:sz w:val="28"/>
          <w:szCs w:val="28"/>
          <w:lang w:eastAsia="ru-RU"/>
        </w:rPr>
        <w:t>последствиям</w:t>
      </w:r>
      <w:proofErr w:type="gramEnd"/>
      <w:r w:rsidRPr="002C585B">
        <w:rPr>
          <w:rFonts w:ascii="Times New Roman" w:eastAsia="Times New Roman" w:hAnsi="Times New Roman" w:cs="Times New Roman"/>
          <w:sz w:val="28"/>
          <w:szCs w:val="28"/>
          <w:lang w:eastAsia="ru-RU"/>
        </w:rPr>
        <w:t xml:space="preserve"> как для населения, так и для всего государства в целом. Высокие цены на товары, снижение качества продукции, невосприимчивость к достижениям научно-технического прогресса снижают уровень благосостояния нации.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Безусловно, процесс монополизации необходимо регулировать. Защита конкуренции и обеспечение конкурентных рыночных отношений, недопущение монополистической деятельности являются основой существования и развития рыночной экономики, а активное содействие развитию конкуренции в Российской Федерации, безусловно, является приоритетным направлением деятельности органов власти.  В роли регулятора в большинстве случаев выступает государство, которое применяет различные меры ограничения деятельности монополий. Этот комплекс мер, обеспечивающих условия для развития и защиты рыночной конкуренции, называется антимонопольным регулированием.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Конкуренция имеет огромное значение для благоприятной ситуации на рынке, для развития экономики в целом. В своей совокупности функции конкуренции обеспечивает общую результативность функционирования рыночной экономики, развитие рынка в качестве саморегулирующейся и самокорректирующейся системы. Но не стоит забывать и о том, что воздействие конкуренции не всегда благоприятно. Йозеф </w:t>
      </w:r>
      <w:proofErr w:type="spellStart"/>
      <w:r w:rsidRPr="002C585B">
        <w:rPr>
          <w:rFonts w:ascii="Times New Roman" w:eastAsia="Times New Roman" w:hAnsi="Times New Roman" w:cs="Times New Roman"/>
          <w:sz w:val="28"/>
          <w:szCs w:val="28"/>
          <w:lang w:eastAsia="ru-RU"/>
        </w:rPr>
        <w:t>Шумпетер</w:t>
      </w:r>
      <w:proofErr w:type="spellEnd"/>
      <w:r w:rsidRPr="002C585B">
        <w:rPr>
          <w:rFonts w:ascii="Times New Roman" w:eastAsia="Times New Roman" w:hAnsi="Times New Roman" w:cs="Times New Roman"/>
          <w:sz w:val="28"/>
          <w:szCs w:val="28"/>
          <w:lang w:eastAsia="ru-RU"/>
        </w:rPr>
        <w:t xml:space="preserve"> образно называл конкуренцию «вихрем созидательного разрушения», опираясь на то, что хоть и выгоды конкуренции велики, ее воздействие на проигравшую </w:t>
      </w:r>
      <w:r w:rsidRPr="002C585B">
        <w:rPr>
          <w:rFonts w:ascii="Times New Roman" w:eastAsia="Times New Roman" w:hAnsi="Times New Roman" w:cs="Times New Roman"/>
          <w:sz w:val="28"/>
          <w:szCs w:val="28"/>
          <w:lang w:eastAsia="ru-RU"/>
        </w:rPr>
        <w:lastRenderedPageBreak/>
        <w:t>сторону может быть разрушительным</w:t>
      </w:r>
      <w:r w:rsidRPr="002C585B">
        <w:rPr>
          <w:rFonts w:ascii="Times New Roman" w:eastAsia="Times New Roman" w:hAnsi="Times New Roman" w:cs="Times New Roman"/>
          <w:sz w:val="28"/>
          <w:szCs w:val="28"/>
          <w:vertAlign w:val="superscript"/>
          <w:lang w:eastAsia="ru-RU"/>
        </w:rPr>
        <w:footnoteReference w:id="1"/>
      </w:r>
      <w:r w:rsidRPr="002C585B">
        <w:rPr>
          <w:rFonts w:ascii="Times New Roman" w:eastAsia="Times New Roman" w:hAnsi="Times New Roman" w:cs="Times New Roman"/>
          <w:sz w:val="28"/>
          <w:szCs w:val="28"/>
          <w:lang w:eastAsia="ru-RU"/>
        </w:rPr>
        <w:t>. Поэтому именно сам процесс конкуренции, а не сохранение конкурентов является основной задачей антимонопольного регулирования</w:t>
      </w:r>
      <w:r w:rsidRPr="002C585B">
        <w:rPr>
          <w:rFonts w:ascii="Times New Roman" w:eastAsia="Times New Roman" w:hAnsi="Times New Roman" w:cs="Times New Roman"/>
          <w:sz w:val="28"/>
          <w:szCs w:val="28"/>
          <w:vertAlign w:val="superscript"/>
          <w:lang w:eastAsia="ru-RU"/>
        </w:rPr>
        <w:footnoteReference w:id="2"/>
      </w:r>
      <w:r w:rsidRPr="002C585B">
        <w:rPr>
          <w:rFonts w:ascii="Times New Roman" w:eastAsia="Times New Roman" w:hAnsi="Times New Roman" w:cs="Times New Roman"/>
          <w:sz w:val="28"/>
          <w:szCs w:val="28"/>
          <w:lang w:eastAsia="ru-RU"/>
        </w:rPr>
        <w:t>.</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Несмотря на всю широту мер, применяемых государством в сфере антимонопольного законодательства, оно имеет определенные недостатки. В частности, из-за мирового экономического кризиса происходит усиление государственного монополизма: сокращается частный сектор в экономике; увеличивается доля контролируемых государством компаний и государственных корпораций; частный бизнес дискриминируется.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Другим негативным явлением в экономике России является </w:t>
      </w:r>
      <w:proofErr w:type="spellStart"/>
      <w:r w:rsidRPr="002C585B">
        <w:rPr>
          <w:rFonts w:ascii="Times New Roman" w:eastAsia="Times New Roman" w:hAnsi="Times New Roman" w:cs="Times New Roman"/>
          <w:sz w:val="28"/>
          <w:szCs w:val="28"/>
          <w:lang w:eastAsia="ru-RU"/>
        </w:rPr>
        <w:t>картелизация</w:t>
      </w:r>
      <w:proofErr w:type="spellEnd"/>
      <w:r w:rsidRPr="002C585B">
        <w:rPr>
          <w:rFonts w:ascii="Times New Roman" w:eastAsia="Times New Roman" w:hAnsi="Times New Roman" w:cs="Times New Roman"/>
          <w:sz w:val="28"/>
          <w:szCs w:val="28"/>
          <w:lang w:eastAsia="ru-RU"/>
        </w:rPr>
        <w:t xml:space="preserve"> экономики. В последнее время Федеральная антимонопольная служба России выявила многочисленные картели в различных сферах и отраслях. Самый массовый картель был обнаружен на торгах на поставку вещевого имущества для нужд Министерства внутренних дел России, Федеральной службы безопасности России и Федеральной таможенной службы России. Также картели были выявлены на рынке лекарств, на рынке контейнерных линейных перевозок и так далее.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Антимонопольное регулирование в России за последние годы значительно усовершенствовалось в плане законодательной базы. Однако, несмотря на это, имеются некоторые проблемы, которые снижают эффективность применения мер защиты и развития конкуренции на практике.</w:t>
      </w:r>
    </w:p>
    <w:p w:rsidR="002C585B" w:rsidRPr="002C585B" w:rsidRDefault="002C585B" w:rsidP="002C585B">
      <w:pPr>
        <w:spacing w:after="0" w:line="360" w:lineRule="auto"/>
        <w:ind w:firstLine="851"/>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Конкуренция как охраняемый законом режим экономической </w:t>
      </w:r>
      <w:proofErr w:type="gramStart"/>
      <w:r w:rsidRPr="002C585B">
        <w:rPr>
          <w:rFonts w:ascii="Times New Roman" w:eastAsia="Times New Roman" w:hAnsi="Times New Roman" w:cs="Times New Roman"/>
          <w:sz w:val="28"/>
          <w:szCs w:val="28"/>
          <w:lang w:eastAsia="ru-RU"/>
        </w:rPr>
        <w:t>деятельности</w:t>
      </w:r>
      <w:proofErr w:type="gramEnd"/>
      <w:r w:rsidRPr="002C585B">
        <w:rPr>
          <w:rFonts w:ascii="Times New Roman" w:eastAsia="Times New Roman" w:hAnsi="Times New Roman" w:cs="Times New Roman"/>
          <w:sz w:val="28"/>
          <w:szCs w:val="28"/>
          <w:lang w:eastAsia="ru-RU"/>
        </w:rPr>
        <w:t xml:space="preserve"> прежде всего предполагает, что каждый участник рыночных отношений действует в собственных интересах, самостоятельно и обособленно, принимая решение о цене товара и других условиях его реализации. </w:t>
      </w:r>
    </w:p>
    <w:p w:rsidR="002C585B" w:rsidRPr="002C585B" w:rsidRDefault="002C585B" w:rsidP="000A3EA1">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lastRenderedPageBreak/>
        <w:t xml:space="preserve">Как отмечает К.Ю. </w:t>
      </w:r>
      <w:proofErr w:type="spellStart"/>
      <w:r w:rsidRPr="002C585B">
        <w:rPr>
          <w:rFonts w:ascii="Times New Roman" w:eastAsia="Times New Roman" w:hAnsi="Times New Roman" w:cs="Times New Roman"/>
          <w:sz w:val="28"/>
          <w:szCs w:val="28"/>
          <w:lang w:eastAsia="ru-RU"/>
        </w:rPr>
        <w:t>Тотьев</w:t>
      </w:r>
      <w:proofErr w:type="spellEnd"/>
      <w:r w:rsidRPr="002C585B">
        <w:rPr>
          <w:rFonts w:ascii="Times New Roman" w:eastAsia="Times New Roman" w:hAnsi="Times New Roman" w:cs="Times New Roman"/>
          <w:sz w:val="28"/>
          <w:szCs w:val="28"/>
          <w:lang w:eastAsia="ru-RU"/>
        </w:rPr>
        <w:t>, «конкуренция связана с ситуацией, когда субъект Х может достичь своих целей только в том случае, когда субъект Y н</w:t>
      </w:r>
      <w:r w:rsidR="000A3EA1">
        <w:rPr>
          <w:rFonts w:ascii="Times New Roman" w:eastAsia="Times New Roman" w:hAnsi="Times New Roman" w:cs="Times New Roman"/>
          <w:sz w:val="28"/>
          <w:szCs w:val="28"/>
          <w:lang w:eastAsia="ru-RU"/>
        </w:rPr>
        <w:t>е может реализовать свои задачи</w:t>
      </w:r>
      <w:r w:rsidRPr="002C585B">
        <w:rPr>
          <w:rFonts w:ascii="Times New Roman" w:eastAsia="Times New Roman" w:hAnsi="Times New Roman" w:cs="Times New Roman"/>
          <w:sz w:val="28"/>
          <w:szCs w:val="28"/>
          <w:vertAlign w:val="superscript"/>
          <w:lang w:eastAsia="ru-RU"/>
        </w:rPr>
        <w:footnoteReference w:id="3"/>
      </w:r>
      <w:r w:rsidRPr="002C585B">
        <w:rPr>
          <w:rFonts w:ascii="Times New Roman" w:eastAsia="Times New Roman" w:hAnsi="Times New Roman" w:cs="Times New Roman"/>
          <w:sz w:val="28"/>
          <w:szCs w:val="28"/>
          <w:lang w:eastAsia="ru-RU"/>
        </w:rPr>
        <w:t xml:space="preserve">. Отсюда следует, что антиподом конкуренции является сотрудничество, или кооперация участников рыночной деятельности. При этом подобное сотрудничество может быть нейтральным по отношению к конкуренции, однако различные формы кооперации хозяйствующих субъектов в той или иной степени могут угрожать конкуренции.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Российское антимонопольное законодательство предусматривает два основных типа сотрудничества на рынке, препятствующих конкуренции, которые могут выражаться как в соглашениях, так и в согласованных действиях. В нашей работе особое внимание уделим </w:t>
      </w:r>
      <w:proofErr w:type="spellStart"/>
      <w:r w:rsidRPr="002C585B">
        <w:rPr>
          <w:rFonts w:ascii="Times New Roman" w:eastAsia="Times New Roman" w:hAnsi="Times New Roman" w:cs="Times New Roman"/>
          <w:sz w:val="28"/>
          <w:szCs w:val="28"/>
          <w:lang w:eastAsia="ru-RU"/>
        </w:rPr>
        <w:t>антиконкурентным</w:t>
      </w:r>
      <w:proofErr w:type="spellEnd"/>
      <w:r w:rsidRPr="002C585B">
        <w:rPr>
          <w:rFonts w:ascii="Times New Roman" w:eastAsia="Times New Roman" w:hAnsi="Times New Roman" w:cs="Times New Roman"/>
          <w:sz w:val="28"/>
          <w:szCs w:val="28"/>
          <w:lang w:eastAsia="ru-RU"/>
        </w:rPr>
        <w:t xml:space="preserve"> соглашениям, а именно горизонтальным </w:t>
      </w:r>
      <w:proofErr w:type="spellStart"/>
      <w:r w:rsidRPr="002C585B">
        <w:rPr>
          <w:rFonts w:ascii="Times New Roman" w:eastAsia="Times New Roman" w:hAnsi="Times New Roman" w:cs="Times New Roman"/>
          <w:sz w:val="28"/>
          <w:szCs w:val="28"/>
          <w:lang w:eastAsia="ru-RU"/>
        </w:rPr>
        <w:t>антиконкурентным</w:t>
      </w:r>
      <w:proofErr w:type="spellEnd"/>
      <w:r w:rsidRPr="002C585B">
        <w:rPr>
          <w:rFonts w:ascii="Times New Roman" w:eastAsia="Times New Roman" w:hAnsi="Times New Roman" w:cs="Times New Roman"/>
          <w:sz w:val="28"/>
          <w:szCs w:val="28"/>
          <w:lang w:eastAsia="ru-RU"/>
        </w:rPr>
        <w:t xml:space="preserve"> соглашениям (картелям). Поскольку, на наш взгляд, </w:t>
      </w:r>
      <w:proofErr w:type="spellStart"/>
      <w:r w:rsidRPr="002C585B">
        <w:rPr>
          <w:rFonts w:ascii="Times New Roman" w:eastAsia="Times New Roman" w:hAnsi="Times New Roman" w:cs="Times New Roman"/>
          <w:sz w:val="28"/>
          <w:szCs w:val="28"/>
          <w:lang w:eastAsia="ru-RU"/>
        </w:rPr>
        <w:t>картелизация</w:t>
      </w:r>
      <w:proofErr w:type="spellEnd"/>
      <w:r w:rsidRPr="002C585B">
        <w:rPr>
          <w:rFonts w:ascii="Times New Roman" w:eastAsia="Times New Roman" w:hAnsi="Times New Roman" w:cs="Times New Roman"/>
          <w:sz w:val="28"/>
          <w:szCs w:val="28"/>
          <w:lang w:eastAsia="ru-RU"/>
        </w:rPr>
        <w:t xml:space="preserve"> экономики является одной из основных проблем, которая не дает развиваться конкуренции.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Горизонтальные соглашения по праву считаются самыми опасными для конкуренции, ведь именно они наибольшим образом увеличивают степень монополизации товарного рынка. По степени опасности для конкуренции горизонтальные соглашения (согласованные действия) являются самыми крупными после традиционной монополии источниками </w:t>
      </w:r>
      <w:proofErr w:type="spellStart"/>
      <w:r w:rsidRPr="002C585B">
        <w:rPr>
          <w:rFonts w:ascii="Times New Roman" w:eastAsia="Times New Roman" w:hAnsi="Times New Roman" w:cs="Times New Roman"/>
          <w:sz w:val="28"/>
          <w:szCs w:val="28"/>
          <w:lang w:eastAsia="ru-RU"/>
        </w:rPr>
        <w:t>антиконкурентного</w:t>
      </w:r>
      <w:proofErr w:type="spellEnd"/>
      <w:r w:rsidRPr="002C585B">
        <w:rPr>
          <w:rFonts w:ascii="Times New Roman" w:eastAsia="Times New Roman" w:hAnsi="Times New Roman" w:cs="Times New Roman"/>
          <w:sz w:val="28"/>
          <w:szCs w:val="28"/>
          <w:lang w:eastAsia="ru-RU"/>
        </w:rPr>
        <w:t xml:space="preserve"> поведения</w:t>
      </w:r>
      <w:r w:rsidRPr="002C585B">
        <w:rPr>
          <w:rFonts w:ascii="Times New Roman" w:eastAsia="Times New Roman" w:hAnsi="Times New Roman" w:cs="Times New Roman"/>
          <w:sz w:val="28"/>
          <w:szCs w:val="28"/>
          <w:vertAlign w:val="superscript"/>
          <w:lang w:eastAsia="ru-RU"/>
        </w:rPr>
        <w:footnoteReference w:id="4"/>
      </w:r>
      <w:r w:rsidRPr="002C585B">
        <w:rPr>
          <w:rFonts w:ascii="Times New Roman" w:eastAsia="Times New Roman" w:hAnsi="Times New Roman" w:cs="Times New Roman"/>
          <w:sz w:val="28"/>
          <w:szCs w:val="28"/>
          <w:lang w:eastAsia="ru-RU"/>
        </w:rPr>
        <w:t xml:space="preserve">.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proofErr w:type="gramStart"/>
      <w:r w:rsidRPr="002C585B">
        <w:rPr>
          <w:rFonts w:ascii="Times New Roman" w:eastAsia="Times New Roman" w:hAnsi="Times New Roman" w:cs="Times New Roman"/>
          <w:sz w:val="28"/>
          <w:szCs w:val="28"/>
          <w:lang w:eastAsia="ru-RU"/>
        </w:rPr>
        <w:t>В качестве подтверждения, хотелось бы привести пример одного из крупнейших картелей. 26 марта 2018 года ФАС России признала АО «ИПК «СТРАЖ», ООО «Транс-пломбир», ООО «</w:t>
      </w:r>
      <w:proofErr w:type="spellStart"/>
      <w:r w:rsidRPr="002C585B">
        <w:rPr>
          <w:rFonts w:ascii="Times New Roman" w:eastAsia="Times New Roman" w:hAnsi="Times New Roman" w:cs="Times New Roman"/>
          <w:sz w:val="28"/>
          <w:szCs w:val="28"/>
          <w:lang w:eastAsia="ru-RU"/>
        </w:rPr>
        <w:t>СотекКомЦентр</w:t>
      </w:r>
      <w:proofErr w:type="spellEnd"/>
      <w:r w:rsidRPr="002C585B">
        <w:rPr>
          <w:rFonts w:ascii="Times New Roman" w:eastAsia="Times New Roman" w:hAnsi="Times New Roman" w:cs="Times New Roman"/>
          <w:sz w:val="28"/>
          <w:szCs w:val="28"/>
          <w:lang w:eastAsia="ru-RU"/>
        </w:rPr>
        <w:t xml:space="preserve">», ООО «ТД «КЗМИ» и ЗАО «ОЦВ» виновными в организации и участии в картеле на товарном рынке запорно-пломбировочных устройств (ЗПУ) с 2008 по 2017 гг. Как указывал начальник Управления по борьбе с картелями Андрей </w:t>
      </w:r>
      <w:proofErr w:type="spellStart"/>
      <w:r w:rsidRPr="002C585B">
        <w:rPr>
          <w:rFonts w:ascii="Times New Roman" w:eastAsia="Times New Roman" w:hAnsi="Times New Roman" w:cs="Times New Roman"/>
          <w:sz w:val="28"/>
          <w:szCs w:val="28"/>
          <w:lang w:eastAsia="ru-RU"/>
        </w:rPr>
        <w:lastRenderedPageBreak/>
        <w:t>Тенишев</w:t>
      </w:r>
      <w:proofErr w:type="spellEnd"/>
      <w:r w:rsidRPr="002C585B">
        <w:rPr>
          <w:rFonts w:ascii="Times New Roman" w:eastAsia="Times New Roman" w:hAnsi="Times New Roman" w:cs="Times New Roman"/>
          <w:sz w:val="28"/>
          <w:szCs w:val="28"/>
          <w:lang w:eastAsia="ru-RU"/>
        </w:rPr>
        <w:t xml:space="preserve">, </w:t>
      </w:r>
      <w:r w:rsidRPr="002C585B">
        <w:rPr>
          <w:rFonts w:ascii="Times New Roman" w:eastAsia="Times New Roman" w:hAnsi="Times New Roman" w:cs="Times New Roman"/>
          <w:iCs/>
          <w:sz w:val="28"/>
          <w:szCs w:val="28"/>
          <w:lang w:eastAsia="ru-RU"/>
        </w:rPr>
        <w:t>это</w:t>
      </w:r>
      <w:proofErr w:type="gramEnd"/>
      <w:r w:rsidRPr="002C585B">
        <w:rPr>
          <w:rFonts w:ascii="Times New Roman" w:eastAsia="Times New Roman" w:hAnsi="Times New Roman" w:cs="Times New Roman"/>
          <w:iCs/>
          <w:sz w:val="28"/>
          <w:szCs w:val="28"/>
          <w:lang w:eastAsia="ru-RU"/>
        </w:rPr>
        <w:t xml:space="preserve"> был классический устойчивый картель на товарном рынке с механизмами контроля и обмена информацией между участниками».</w:t>
      </w:r>
      <w:r w:rsidRPr="002C585B">
        <w:rPr>
          <w:rFonts w:ascii="Times New Roman" w:eastAsia="Times New Roman" w:hAnsi="Times New Roman" w:cs="Times New Roman"/>
          <w:sz w:val="28"/>
          <w:szCs w:val="28"/>
          <w:lang w:eastAsia="ru-RU"/>
        </w:rPr>
        <w:t xml:space="preserve"> Заключение </w:t>
      </w:r>
      <w:proofErr w:type="spellStart"/>
      <w:r w:rsidRPr="002C585B">
        <w:rPr>
          <w:rFonts w:ascii="Times New Roman" w:eastAsia="Times New Roman" w:hAnsi="Times New Roman" w:cs="Times New Roman"/>
          <w:sz w:val="28"/>
          <w:szCs w:val="28"/>
          <w:lang w:eastAsia="ru-RU"/>
        </w:rPr>
        <w:t>антиконкурентного</w:t>
      </w:r>
      <w:proofErr w:type="spellEnd"/>
      <w:r w:rsidRPr="002C585B">
        <w:rPr>
          <w:rFonts w:ascii="Times New Roman" w:eastAsia="Times New Roman" w:hAnsi="Times New Roman" w:cs="Times New Roman"/>
          <w:sz w:val="28"/>
          <w:szCs w:val="28"/>
          <w:lang w:eastAsia="ru-RU"/>
        </w:rPr>
        <w:t xml:space="preserve"> соглашения привело к установлению и поддержанию цен на ЗПУ, а также разделу товарного рынка. Кроме того, ЗАО «ОЦВ» признано виновным в координации экономической деятельности остальных компаний. Дело было возбуждено на основании обращений потребителей и материалов внеплановых выездных проверок. </w:t>
      </w:r>
      <w:r w:rsidRPr="002C585B">
        <w:rPr>
          <w:rFonts w:ascii="Times New Roman" w:eastAsia="Times New Roman" w:hAnsi="Times New Roman" w:cs="Times New Roman"/>
          <w:iCs/>
          <w:sz w:val="28"/>
          <w:szCs w:val="28"/>
          <w:lang w:eastAsia="ru-RU"/>
        </w:rPr>
        <w:t>«Возбуждение и рассмотрение антимонопольного дела стало причиной восстановления конкуренции на рынке ЗПУ и повлияло на снижение закупочных цен на запорно-пломбировочные устройства для конечных потребителей в два и более раза»,</w:t>
      </w:r>
      <w:r w:rsidRPr="002C585B">
        <w:rPr>
          <w:rFonts w:ascii="Times New Roman" w:eastAsia="Times New Roman" w:hAnsi="Times New Roman" w:cs="Times New Roman"/>
          <w:i/>
          <w:iCs/>
          <w:sz w:val="28"/>
          <w:szCs w:val="28"/>
          <w:lang w:eastAsia="ru-RU"/>
        </w:rPr>
        <w:t> </w:t>
      </w:r>
      <w:r w:rsidRPr="002C585B">
        <w:rPr>
          <w:rFonts w:ascii="Times New Roman" w:eastAsia="Times New Roman" w:hAnsi="Times New Roman" w:cs="Times New Roman"/>
          <w:sz w:val="28"/>
          <w:szCs w:val="28"/>
          <w:lang w:eastAsia="ru-RU"/>
        </w:rPr>
        <w:t xml:space="preserve">- подчеркнул статс-секретарь – заместитель руководителя ФАС России Андрей </w:t>
      </w:r>
      <w:proofErr w:type="spellStart"/>
      <w:r w:rsidRPr="002C585B">
        <w:rPr>
          <w:rFonts w:ascii="Times New Roman" w:eastAsia="Times New Roman" w:hAnsi="Times New Roman" w:cs="Times New Roman"/>
          <w:sz w:val="28"/>
          <w:szCs w:val="28"/>
          <w:lang w:eastAsia="ru-RU"/>
        </w:rPr>
        <w:t>Цариковский</w:t>
      </w:r>
      <w:proofErr w:type="spellEnd"/>
      <w:r w:rsidRPr="002C585B">
        <w:rPr>
          <w:rFonts w:ascii="Times New Roman" w:eastAsia="Times New Roman" w:hAnsi="Times New Roman" w:cs="Times New Roman"/>
          <w:sz w:val="28"/>
          <w:szCs w:val="28"/>
          <w:lang w:eastAsia="ru-RU"/>
        </w:rPr>
        <w:t>. Материалы дела и решение Комиссии ФАС России будут переданы в правоохранительные органы для решения вопроса о возбуждении уголовного дела по признакам состава преступления, предусмотренного статьей 178 УК РФ.</w:t>
      </w:r>
    </w:p>
    <w:p w:rsidR="002C585B" w:rsidRPr="002C585B" w:rsidRDefault="002C585B" w:rsidP="002C585B">
      <w:pPr>
        <w:spacing w:after="0" w:line="360" w:lineRule="auto"/>
        <w:ind w:firstLine="709"/>
        <w:jc w:val="both"/>
        <w:rPr>
          <w:rFonts w:ascii="Times New Roman" w:eastAsia="Times New Roman" w:hAnsi="Times New Roman" w:cs="Times New Roman"/>
          <w:iCs/>
          <w:sz w:val="28"/>
          <w:szCs w:val="28"/>
          <w:lang w:eastAsia="ru-RU"/>
        </w:rPr>
      </w:pPr>
      <w:r w:rsidRPr="002C585B">
        <w:rPr>
          <w:rFonts w:ascii="Times New Roman" w:eastAsia="Times New Roman" w:hAnsi="Times New Roman" w:cs="Times New Roman"/>
          <w:sz w:val="28"/>
          <w:szCs w:val="28"/>
          <w:lang w:eastAsia="ru-RU"/>
        </w:rPr>
        <w:t xml:space="preserve">Анализируя вышеуказанный пример, мы понимаем, какие негативные последствия несут в себе горизонтальные соглашения, какой вред наносят рыночной экономике, потребителям и другим участникам рынка. Также видно, какое длительное время может существовать картель прежде, чем будет обнаружен. Так, в последнем примере он существовал на протяжении 9 лет, и </w:t>
      </w:r>
      <w:r w:rsidRPr="002C585B">
        <w:rPr>
          <w:rFonts w:ascii="Times New Roman" w:eastAsia="Times New Roman" w:hAnsi="Times New Roman" w:cs="Times New Roman"/>
          <w:iCs/>
          <w:sz w:val="28"/>
          <w:szCs w:val="28"/>
          <w:lang w:eastAsia="ru-RU"/>
        </w:rPr>
        <w:t xml:space="preserve">только за 2015-2016 годы участники картеля извлекли доход более 5 </w:t>
      </w:r>
      <w:proofErr w:type="spellStart"/>
      <w:proofErr w:type="gramStart"/>
      <w:r w:rsidRPr="002C585B">
        <w:rPr>
          <w:rFonts w:ascii="Times New Roman" w:eastAsia="Times New Roman" w:hAnsi="Times New Roman" w:cs="Times New Roman"/>
          <w:iCs/>
          <w:sz w:val="28"/>
          <w:szCs w:val="28"/>
          <w:lang w:eastAsia="ru-RU"/>
        </w:rPr>
        <w:t>млрд</w:t>
      </w:r>
      <w:proofErr w:type="spellEnd"/>
      <w:proofErr w:type="gramEnd"/>
      <w:r w:rsidRPr="002C585B">
        <w:rPr>
          <w:rFonts w:ascii="Times New Roman" w:eastAsia="Times New Roman" w:hAnsi="Times New Roman" w:cs="Times New Roman"/>
          <w:iCs/>
          <w:sz w:val="28"/>
          <w:szCs w:val="28"/>
          <w:lang w:eastAsia="ru-RU"/>
        </w:rPr>
        <w:t xml:space="preserve"> рублей. </w:t>
      </w:r>
    </w:p>
    <w:p w:rsidR="002C585B" w:rsidRPr="002C585B" w:rsidRDefault="002C585B" w:rsidP="002C585B">
      <w:pPr>
        <w:spacing w:after="0" w:line="360" w:lineRule="auto"/>
        <w:ind w:firstLine="709"/>
        <w:jc w:val="both"/>
        <w:rPr>
          <w:rFonts w:ascii="Times New Roman" w:eastAsia="Times New Roman" w:hAnsi="Times New Roman" w:cs="Times New Roman"/>
          <w:iCs/>
          <w:sz w:val="28"/>
          <w:szCs w:val="28"/>
          <w:lang w:eastAsia="ru-RU"/>
        </w:rPr>
      </w:pPr>
      <w:r w:rsidRPr="002C585B">
        <w:rPr>
          <w:rFonts w:ascii="Times New Roman" w:eastAsia="Times New Roman" w:hAnsi="Times New Roman" w:cs="Times New Roman"/>
          <w:iCs/>
          <w:sz w:val="28"/>
          <w:szCs w:val="28"/>
          <w:lang w:eastAsia="ru-RU"/>
        </w:rPr>
        <w:t xml:space="preserve">Ряд изменений в Федеральном Законе «О защите конкуренции» от 26 июля 2006 г. №135-ФЗ, касающихся горизонтальных соглашений, является серьезным продвижением для развития конкуренции. Но, существует и ряд проблем, на наш взгляд, связанных с буквальным толкованием положений п.1 ст.11 Закона о защите конкуренции. Буквальное толкование определения понятия «картель» приводит к выводу о том, что картель – это соглашение между продавцами товаров, действующими на одном товарном рынке. Мы считаем, что такое узкое толкование для нашего государства не дает полного </w:t>
      </w:r>
      <w:r w:rsidRPr="002C585B">
        <w:rPr>
          <w:rFonts w:ascii="Times New Roman" w:eastAsia="Times New Roman" w:hAnsi="Times New Roman" w:cs="Times New Roman"/>
          <w:iCs/>
          <w:sz w:val="28"/>
          <w:szCs w:val="28"/>
          <w:lang w:eastAsia="ru-RU"/>
        </w:rPr>
        <w:lastRenderedPageBreak/>
        <w:t xml:space="preserve">представления о данном соглашении, и видится необходимым исходить из систематического и логического толкования ст. 11 Закона о защите конкуренции. </w:t>
      </w:r>
    </w:p>
    <w:p w:rsidR="002C585B" w:rsidRPr="002C585B" w:rsidRDefault="002C585B" w:rsidP="002C585B">
      <w:pPr>
        <w:spacing w:after="0" w:line="360" w:lineRule="auto"/>
        <w:ind w:firstLine="709"/>
        <w:jc w:val="both"/>
        <w:rPr>
          <w:rFonts w:ascii="Times New Roman" w:eastAsia="Times New Roman" w:hAnsi="Times New Roman" w:cs="Times New Roman"/>
          <w:iCs/>
          <w:sz w:val="28"/>
          <w:szCs w:val="28"/>
          <w:lang w:eastAsia="ru-RU"/>
        </w:rPr>
      </w:pPr>
      <w:r w:rsidRPr="002C585B">
        <w:rPr>
          <w:rFonts w:ascii="Times New Roman" w:eastAsia="Times New Roman" w:hAnsi="Times New Roman" w:cs="Times New Roman"/>
          <w:iCs/>
          <w:sz w:val="28"/>
          <w:szCs w:val="28"/>
          <w:lang w:eastAsia="ru-RU"/>
        </w:rPr>
        <w:t xml:space="preserve">В конце декабря 2017 года Указом Президента Российской Федерации был утвержден Национальный план развития конкуренции на 2018-2020 гг. Он является документом стратегического планирования, который определил основные направления государственной политики по развитию конкуренции. </w:t>
      </w:r>
    </w:p>
    <w:p w:rsidR="002C585B" w:rsidRPr="002C585B" w:rsidRDefault="002C585B" w:rsidP="002C585B">
      <w:pPr>
        <w:spacing w:after="0" w:line="360" w:lineRule="auto"/>
        <w:ind w:firstLine="709"/>
        <w:jc w:val="both"/>
        <w:rPr>
          <w:rFonts w:ascii="Times New Roman" w:eastAsia="Times New Roman" w:hAnsi="Times New Roman" w:cs="Times New Roman"/>
          <w:iCs/>
          <w:sz w:val="28"/>
          <w:szCs w:val="28"/>
          <w:lang w:eastAsia="ru-RU"/>
        </w:rPr>
      </w:pPr>
      <w:r w:rsidRPr="002C585B">
        <w:rPr>
          <w:rFonts w:ascii="Times New Roman" w:eastAsia="Times New Roman" w:hAnsi="Times New Roman" w:cs="Times New Roman"/>
          <w:iCs/>
          <w:sz w:val="28"/>
          <w:szCs w:val="28"/>
          <w:lang w:eastAsia="ru-RU"/>
        </w:rPr>
        <w:t xml:space="preserve">В рамках данной работы, мы бы хотели уделить большее внимание мотивации хозяйствующих субъектов соблюдать антимонопольное законодательства, в том числе в сфере запрета горизонтальных </w:t>
      </w:r>
      <w:proofErr w:type="spellStart"/>
      <w:r w:rsidRPr="002C585B">
        <w:rPr>
          <w:rFonts w:ascii="Times New Roman" w:eastAsia="Times New Roman" w:hAnsi="Times New Roman" w:cs="Times New Roman"/>
          <w:iCs/>
          <w:sz w:val="28"/>
          <w:szCs w:val="28"/>
          <w:lang w:eastAsia="ru-RU"/>
        </w:rPr>
        <w:t>антиконкурентных</w:t>
      </w:r>
      <w:proofErr w:type="spellEnd"/>
      <w:r w:rsidRPr="002C585B">
        <w:rPr>
          <w:rFonts w:ascii="Times New Roman" w:eastAsia="Times New Roman" w:hAnsi="Times New Roman" w:cs="Times New Roman"/>
          <w:iCs/>
          <w:sz w:val="28"/>
          <w:szCs w:val="28"/>
          <w:lang w:eastAsia="ru-RU"/>
        </w:rPr>
        <w:t xml:space="preserve"> соглашений. Ведь если задуматься, то конкурентам иногда намного легче договориться о цене товаров, его качестве, о рынке сбыта и ряде других моментов, для того, чтобы увеличить прибыль и не нести затраты, связанные со снижением цены на товар или улучшение его качества для привлечения внимания большего количества потребителей. </w:t>
      </w:r>
    </w:p>
    <w:p w:rsidR="002C585B" w:rsidRPr="002C585B" w:rsidRDefault="002C585B" w:rsidP="002C585B">
      <w:pPr>
        <w:spacing w:after="0" w:line="360" w:lineRule="auto"/>
        <w:ind w:firstLine="709"/>
        <w:jc w:val="both"/>
        <w:rPr>
          <w:rFonts w:ascii="Times New Roman" w:eastAsia="Times New Roman" w:hAnsi="Times New Roman" w:cs="Times New Roman"/>
          <w:iCs/>
          <w:sz w:val="28"/>
          <w:szCs w:val="28"/>
          <w:lang w:eastAsia="ru-RU"/>
        </w:rPr>
      </w:pPr>
      <w:r w:rsidRPr="002C585B">
        <w:rPr>
          <w:rFonts w:ascii="Times New Roman" w:eastAsia="Times New Roman" w:hAnsi="Times New Roman" w:cs="Times New Roman"/>
          <w:iCs/>
          <w:sz w:val="28"/>
          <w:szCs w:val="28"/>
          <w:lang w:eastAsia="ru-RU"/>
        </w:rPr>
        <w:t xml:space="preserve">Здесь, по-нашему мнению, возникает два направления деятельности законодательных органов, во-первых, сделать так чтобы соблюдать антимонопольное законодательство было выгодно, </w:t>
      </w:r>
      <w:proofErr w:type="gramStart"/>
      <w:r w:rsidRPr="002C585B">
        <w:rPr>
          <w:rFonts w:ascii="Times New Roman" w:eastAsia="Times New Roman" w:hAnsi="Times New Roman" w:cs="Times New Roman"/>
          <w:iCs/>
          <w:sz w:val="28"/>
          <w:szCs w:val="28"/>
          <w:lang w:eastAsia="ru-RU"/>
        </w:rPr>
        <w:t>и</w:t>
      </w:r>
      <w:proofErr w:type="gramEnd"/>
      <w:r w:rsidRPr="002C585B">
        <w:rPr>
          <w:rFonts w:ascii="Times New Roman" w:eastAsia="Times New Roman" w:hAnsi="Times New Roman" w:cs="Times New Roman"/>
          <w:iCs/>
          <w:sz w:val="28"/>
          <w:szCs w:val="28"/>
          <w:lang w:eastAsia="ru-RU"/>
        </w:rPr>
        <w:t xml:space="preserve"> во-вторых, ужесточить ответственности за заключение картельных соглашений.</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iCs/>
          <w:sz w:val="28"/>
          <w:szCs w:val="28"/>
          <w:lang w:eastAsia="ru-RU"/>
        </w:rPr>
        <w:t xml:space="preserve">Первый путь связан </w:t>
      </w:r>
      <w:r w:rsidRPr="002C585B">
        <w:rPr>
          <w:rFonts w:ascii="Times New Roman" w:eastAsia="Times New Roman" w:hAnsi="Times New Roman" w:cs="Times New Roman"/>
          <w:sz w:val="28"/>
          <w:szCs w:val="28"/>
          <w:lang w:eastAsia="ru-RU"/>
        </w:rPr>
        <w:t xml:space="preserve">с мотивацией компании к тому, чтобы предпринимать меры предосторожности в части нарушений антимонопольного законодательства, в том числе в отношении непреднамеренных нарушений. Одним из инструментов предупреждения и снижения антимонопольных рисков для компаний является разработка и внедрение антимонопольного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 системы внутрикорпоративного предупреждения нарушений антимонопольного законодательства. Целью антимонопольного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для компаний является снижение вероятности антимонопольного нарушения посредством снижения риска произвола исполнителя и, как следствие, риска антимонопольных санкций. </w:t>
      </w:r>
      <w:proofErr w:type="gramStart"/>
      <w:r w:rsidRPr="002C585B">
        <w:rPr>
          <w:rFonts w:ascii="Times New Roman" w:eastAsia="Times New Roman" w:hAnsi="Times New Roman" w:cs="Times New Roman"/>
          <w:sz w:val="28"/>
          <w:szCs w:val="28"/>
          <w:lang w:eastAsia="ru-RU"/>
        </w:rPr>
        <w:t xml:space="preserve">За последние 2-3 года вопрос правового режима антимонопольного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w:t>
      </w:r>
      <w:r w:rsidRPr="002C585B">
        <w:rPr>
          <w:rFonts w:ascii="Times New Roman" w:eastAsia="Times New Roman" w:hAnsi="Times New Roman" w:cs="Times New Roman"/>
          <w:sz w:val="28"/>
          <w:szCs w:val="28"/>
          <w:lang w:eastAsia="ru-RU"/>
        </w:rPr>
        <w:lastRenderedPageBreak/>
        <w:t>в российском законодательстве стал предметом широкой дискуссии.</w:t>
      </w:r>
      <w:proofErr w:type="gramEnd"/>
      <w:r w:rsidRPr="002C585B">
        <w:rPr>
          <w:rFonts w:ascii="Times New Roman" w:eastAsia="Times New Roman" w:hAnsi="Times New Roman" w:cs="Times New Roman"/>
          <w:sz w:val="28"/>
          <w:szCs w:val="28"/>
          <w:lang w:eastAsia="ru-RU"/>
        </w:rPr>
        <w:t xml:space="preserve"> Основными инициаторами данной дискуссии являются корпоративные юристы и практикующие адвокаты; представители ФАС России. Стороны, как правило, апеллируют к двум основным аргументам в пользу закрепления данного института:</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внедрение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создает выгоды и для ФАС России, и для компаний, поскольку позволяет предупреждать нарушения антимонопольного законодательства либо выявлять их на ранней стадии. </w:t>
      </w:r>
      <w:proofErr w:type="gramStart"/>
      <w:r w:rsidRPr="002C585B">
        <w:rPr>
          <w:rFonts w:ascii="Times New Roman" w:eastAsia="Times New Roman" w:hAnsi="Times New Roman" w:cs="Times New Roman"/>
          <w:sz w:val="28"/>
          <w:szCs w:val="28"/>
          <w:lang w:eastAsia="ru-RU"/>
        </w:rPr>
        <w:t xml:space="preserve">Это, с одной стороны, может позволить уменьшить число фактических нарушений, с другой стороны, может снизить нагрузку на антимонопольной органы путем сокращения числа разбирательств; </w:t>
      </w:r>
      <w:proofErr w:type="gramEnd"/>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зарубежный опыт отдельных стран показывает, что антимонопольные ведомства могут разрабатывать разъяснения для компаний о том, что нужно учитывать в корпоративных программах по соблюдению антимонопольного законодательства, а также предоставлять ослабление наказания (снижение штрафов) за нарушение антимонопольного законодательства в случае наличия и соблюдения антимонопольного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iCs/>
          <w:sz w:val="28"/>
          <w:szCs w:val="28"/>
          <w:lang w:eastAsia="ru-RU"/>
        </w:rPr>
        <w:t xml:space="preserve">Интересным с нашей точки зрения является опыт ряда стран, в который установлено, что </w:t>
      </w:r>
      <w:r w:rsidRPr="002C585B">
        <w:rPr>
          <w:rFonts w:ascii="Times New Roman" w:eastAsia="Times New Roman" w:hAnsi="Times New Roman" w:cs="Times New Roman"/>
          <w:sz w:val="28"/>
          <w:szCs w:val="28"/>
          <w:lang w:eastAsia="ru-RU"/>
        </w:rPr>
        <w:t xml:space="preserve">внедрение корпоративных систем предупреждения антимонопольных нарушений может становиться основанием для снижения штрафов в рамках разбирательств, но решение этого вопроса остается преимущественно за антимонопольным ведомством. А во Франции решения антимонопольного органа для снижения штрафа вообще не требуется. Размер снижения штрафа варьируется в разных странах и составляет от 10 до 20%. На наш взгляд, наличие такой возможности будет </w:t>
      </w:r>
      <w:proofErr w:type="gramStart"/>
      <w:r w:rsidRPr="002C585B">
        <w:rPr>
          <w:rFonts w:ascii="Times New Roman" w:eastAsia="Times New Roman" w:hAnsi="Times New Roman" w:cs="Times New Roman"/>
          <w:sz w:val="28"/>
          <w:szCs w:val="28"/>
          <w:lang w:eastAsia="ru-RU"/>
        </w:rPr>
        <w:t>мотивировать хозяйствующих субъектов соблюдать</w:t>
      </w:r>
      <w:proofErr w:type="gramEnd"/>
      <w:r w:rsidRPr="002C585B">
        <w:rPr>
          <w:rFonts w:ascii="Times New Roman" w:eastAsia="Times New Roman" w:hAnsi="Times New Roman" w:cs="Times New Roman"/>
          <w:sz w:val="28"/>
          <w:szCs w:val="28"/>
          <w:lang w:eastAsia="ru-RU"/>
        </w:rPr>
        <w:t xml:space="preserve"> нормы антимонопольного законодательства.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Так, антимонопольное ведомство Великобритании предлагает четырехступенчатую систему реализации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однако указывает на то, что каждая компания должна выбирать необходимую для нее степень </w:t>
      </w:r>
      <w:r w:rsidRPr="002C585B">
        <w:rPr>
          <w:rFonts w:ascii="Times New Roman" w:eastAsia="Times New Roman" w:hAnsi="Times New Roman" w:cs="Times New Roman"/>
          <w:sz w:val="28"/>
          <w:szCs w:val="28"/>
          <w:lang w:eastAsia="ru-RU"/>
        </w:rPr>
        <w:lastRenderedPageBreak/>
        <w:t xml:space="preserve">детализации системы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в соответствии с характерным для нее уровнем риска нарушения антимонопольного законодательства и размером компании. К сфере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относятся такие нарушения, как картели и злоупотребление доминирующим положением. Само по себе наличие программы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не является основанием для снижения антимонопольных санкций. Однако в случае признания внедренной программы эффективной и соответствующей предложенной ведомством четырехступенчатой структуре, а также размеру компании и характерному для нее уровню риска наличие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может быть учтено при вынесении решения о санкциях за антимонопольное нарушение.</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Например, в Великобритании было судебное разбирательство </w:t>
      </w:r>
      <w:proofErr w:type="gramStart"/>
      <w:r w:rsidRPr="002C585B">
        <w:rPr>
          <w:rFonts w:ascii="Times New Roman" w:eastAsia="Times New Roman" w:hAnsi="Times New Roman" w:cs="Times New Roman"/>
          <w:sz w:val="28"/>
          <w:szCs w:val="28"/>
          <w:lang w:eastAsia="ru-RU"/>
        </w:rPr>
        <w:t>в отношение компаний</w:t>
      </w:r>
      <w:proofErr w:type="gramEnd"/>
      <w:r w:rsidRPr="002C585B">
        <w:rPr>
          <w:rFonts w:ascii="Times New Roman" w:eastAsia="Times New Roman" w:hAnsi="Times New Roman" w:cs="Times New Roman"/>
          <w:sz w:val="28"/>
          <w:szCs w:val="28"/>
          <w:lang w:eastAsia="ru-RU"/>
        </w:rPr>
        <w:t xml:space="preserve"> </w:t>
      </w:r>
      <w:proofErr w:type="spellStart"/>
      <w:r w:rsidRPr="002C585B">
        <w:rPr>
          <w:rFonts w:ascii="Times New Roman" w:eastAsia="Times New Roman" w:hAnsi="Times New Roman" w:cs="Times New Roman"/>
          <w:sz w:val="28"/>
          <w:szCs w:val="28"/>
          <w:lang w:eastAsia="ru-RU"/>
        </w:rPr>
        <w:t>Hasbro</w:t>
      </w:r>
      <w:proofErr w:type="spellEnd"/>
      <w:r w:rsidRPr="002C585B">
        <w:rPr>
          <w:rFonts w:ascii="Times New Roman" w:eastAsia="Times New Roman" w:hAnsi="Times New Roman" w:cs="Times New Roman"/>
          <w:sz w:val="28"/>
          <w:szCs w:val="28"/>
          <w:lang w:eastAsia="ru-RU"/>
        </w:rPr>
        <w:t xml:space="preserve"> U.K. </w:t>
      </w:r>
      <w:proofErr w:type="spell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lang w:eastAsia="ru-RU"/>
        </w:rPr>
        <w:t xml:space="preserve"> и </w:t>
      </w:r>
      <w:proofErr w:type="spellStart"/>
      <w:r w:rsidRPr="002C585B">
        <w:rPr>
          <w:rFonts w:ascii="Times New Roman" w:eastAsia="Times New Roman" w:hAnsi="Times New Roman" w:cs="Times New Roman"/>
          <w:sz w:val="28"/>
          <w:szCs w:val="28"/>
          <w:lang w:eastAsia="ru-RU"/>
        </w:rPr>
        <w:t>Argos</w:t>
      </w:r>
      <w:proofErr w:type="spellEnd"/>
      <w:r w:rsidRPr="002C585B">
        <w:rPr>
          <w:rFonts w:ascii="Times New Roman" w:eastAsia="Times New Roman" w:hAnsi="Times New Roman" w:cs="Times New Roman"/>
          <w:sz w:val="28"/>
          <w:szCs w:val="28"/>
          <w:lang w:eastAsia="ru-RU"/>
        </w:rPr>
        <w:t xml:space="preserve"> </w:t>
      </w:r>
      <w:proofErr w:type="spell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lang w:eastAsia="ru-RU"/>
        </w:rPr>
        <w:t xml:space="preserve"> и </w:t>
      </w:r>
      <w:proofErr w:type="spellStart"/>
      <w:r w:rsidRPr="002C585B">
        <w:rPr>
          <w:rFonts w:ascii="Times New Roman" w:eastAsia="Times New Roman" w:hAnsi="Times New Roman" w:cs="Times New Roman"/>
          <w:sz w:val="28"/>
          <w:szCs w:val="28"/>
          <w:lang w:eastAsia="ru-RU"/>
        </w:rPr>
        <w:t>Littlewoods</w:t>
      </w:r>
      <w:proofErr w:type="spellEnd"/>
      <w:r w:rsidRPr="002C585B">
        <w:rPr>
          <w:rFonts w:ascii="Times New Roman" w:eastAsia="Times New Roman" w:hAnsi="Times New Roman" w:cs="Times New Roman"/>
          <w:sz w:val="28"/>
          <w:szCs w:val="28"/>
          <w:lang w:eastAsia="ru-RU"/>
        </w:rPr>
        <w:t xml:space="preserve"> </w:t>
      </w:r>
      <w:proofErr w:type="spell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vertAlign w:val="superscript"/>
          <w:lang w:eastAsia="ru-RU"/>
        </w:rPr>
        <w:footnoteReference w:id="5"/>
      </w:r>
      <w:r w:rsidRPr="002C585B">
        <w:rPr>
          <w:rFonts w:ascii="Times New Roman" w:eastAsia="Times New Roman" w:hAnsi="Times New Roman" w:cs="Times New Roman"/>
          <w:sz w:val="28"/>
          <w:szCs w:val="28"/>
          <w:lang w:eastAsia="ru-RU"/>
        </w:rPr>
        <w:t xml:space="preserve">, которые были признаны нарушившими раздел 2 </w:t>
      </w:r>
      <w:r w:rsidRPr="002C585B">
        <w:rPr>
          <w:rFonts w:ascii="Times New Roman" w:eastAsia="Times New Roman" w:hAnsi="Times New Roman" w:cs="Times New Roman"/>
          <w:sz w:val="28"/>
          <w:szCs w:val="28"/>
          <w:lang w:val="en-US" w:eastAsia="ru-RU"/>
        </w:rPr>
        <w:t>Competition</w:t>
      </w:r>
      <w:r w:rsidRPr="002C585B">
        <w:rPr>
          <w:rFonts w:ascii="Times New Roman" w:eastAsia="Times New Roman" w:hAnsi="Times New Roman" w:cs="Times New Roman"/>
          <w:sz w:val="28"/>
          <w:szCs w:val="28"/>
          <w:lang w:eastAsia="ru-RU"/>
        </w:rPr>
        <w:t xml:space="preserve"> </w:t>
      </w:r>
      <w:r w:rsidRPr="002C585B">
        <w:rPr>
          <w:rFonts w:ascii="Times New Roman" w:eastAsia="Times New Roman" w:hAnsi="Times New Roman" w:cs="Times New Roman"/>
          <w:sz w:val="28"/>
          <w:szCs w:val="28"/>
          <w:lang w:val="en-US" w:eastAsia="ru-RU"/>
        </w:rPr>
        <w:t>Act</w:t>
      </w:r>
      <w:r w:rsidRPr="002C585B">
        <w:rPr>
          <w:rFonts w:ascii="Times New Roman" w:eastAsia="Times New Roman" w:hAnsi="Times New Roman" w:cs="Times New Roman"/>
          <w:sz w:val="28"/>
          <w:szCs w:val="28"/>
          <w:lang w:eastAsia="ru-RU"/>
        </w:rPr>
        <w:t xml:space="preserve"> 1998 года в результате заключения соглашения о фиксировании цен. Были заключены два</w:t>
      </w:r>
      <w:r w:rsidR="00E04D86">
        <w:rPr>
          <w:rFonts w:ascii="Times New Roman" w:eastAsia="Times New Roman" w:hAnsi="Times New Roman" w:cs="Times New Roman"/>
          <w:sz w:val="28"/>
          <w:szCs w:val="28"/>
          <w:lang w:eastAsia="ru-RU"/>
        </w:rPr>
        <w:t xml:space="preserve"> двусторонних соглашения: одно –</w:t>
      </w:r>
      <w:r w:rsidRPr="002C585B">
        <w:rPr>
          <w:rFonts w:ascii="Times New Roman" w:eastAsia="Times New Roman" w:hAnsi="Times New Roman" w:cs="Times New Roman"/>
          <w:sz w:val="28"/>
          <w:szCs w:val="28"/>
          <w:lang w:eastAsia="ru-RU"/>
        </w:rPr>
        <w:t xml:space="preserve"> между </w:t>
      </w:r>
      <w:proofErr w:type="spellStart"/>
      <w:r w:rsidRPr="002C585B">
        <w:rPr>
          <w:rFonts w:ascii="Times New Roman" w:eastAsia="Times New Roman" w:hAnsi="Times New Roman" w:cs="Times New Roman"/>
          <w:sz w:val="28"/>
          <w:szCs w:val="28"/>
          <w:lang w:eastAsia="ru-RU"/>
        </w:rPr>
        <w:t>Hasbro</w:t>
      </w:r>
      <w:proofErr w:type="spellEnd"/>
      <w:r w:rsidRPr="002C585B">
        <w:rPr>
          <w:rFonts w:ascii="Times New Roman" w:eastAsia="Times New Roman" w:hAnsi="Times New Roman" w:cs="Times New Roman"/>
          <w:sz w:val="28"/>
          <w:szCs w:val="28"/>
          <w:lang w:eastAsia="ru-RU"/>
        </w:rPr>
        <w:t xml:space="preserve"> U.K.</w:t>
      </w:r>
      <w:r w:rsidR="00E04D86">
        <w:rPr>
          <w:rFonts w:ascii="Times New Roman" w:eastAsia="Times New Roman" w:hAnsi="Times New Roman" w:cs="Times New Roman"/>
          <w:sz w:val="28"/>
          <w:szCs w:val="28"/>
          <w:lang w:eastAsia="ru-RU"/>
        </w:rPr>
        <w:t xml:space="preserve"> </w:t>
      </w:r>
      <w:proofErr w:type="spellStart"/>
      <w:r w:rsidR="00E04D86">
        <w:rPr>
          <w:rFonts w:ascii="Times New Roman" w:eastAsia="Times New Roman" w:hAnsi="Times New Roman" w:cs="Times New Roman"/>
          <w:sz w:val="28"/>
          <w:szCs w:val="28"/>
          <w:lang w:eastAsia="ru-RU"/>
        </w:rPr>
        <w:t>Ltd</w:t>
      </w:r>
      <w:proofErr w:type="spellEnd"/>
      <w:r w:rsidR="00E04D86">
        <w:rPr>
          <w:rFonts w:ascii="Times New Roman" w:eastAsia="Times New Roman" w:hAnsi="Times New Roman" w:cs="Times New Roman"/>
          <w:sz w:val="28"/>
          <w:szCs w:val="28"/>
          <w:lang w:eastAsia="ru-RU"/>
        </w:rPr>
        <w:t xml:space="preserve"> и </w:t>
      </w:r>
      <w:proofErr w:type="spellStart"/>
      <w:r w:rsidR="00E04D86">
        <w:rPr>
          <w:rFonts w:ascii="Times New Roman" w:eastAsia="Times New Roman" w:hAnsi="Times New Roman" w:cs="Times New Roman"/>
          <w:sz w:val="28"/>
          <w:szCs w:val="28"/>
          <w:lang w:eastAsia="ru-RU"/>
        </w:rPr>
        <w:t>Argos</w:t>
      </w:r>
      <w:proofErr w:type="spellEnd"/>
      <w:r w:rsidR="00E04D86">
        <w:rPr>
          <w:rFonts w:ascii="Times New Roman" w:eastAsia="Times New Roman" w:hAnsi="Times New Roman" w:cs="Times New Roman"/>
          <w:sz w:val="28"/>
          <w:szCs w:val="28"/>
          <w:lang w:eastAsia="ru-RU"/>
        </w:rPr>
        <w:t xml:space="preserve"> </w:t>
      </w:r>
      <w:proofErr w:type="spellStart"/>
      <w:r w:rsidR="00E04D86">
        <w:rPr>
          <w:rFonts w:ascii="Times New Roman" w:eastAsia="Times New Roman" w:hAnsi="Times New Roman" w:cs="Times New Roman"/>
          <w:sz w:val="28"/>
          <w:szCs w:val="28"/>
          <w:lang w:eastAsia="ru-RU"/>
        </w:rPr>
        <w:t>Ltd</w:t>
      </w:r>
      <w:proofErr w:type="spellEnd"/>
      <w:r w:rsidR="00E04D86">
        <w:rPr>
          <w:rFonts w:ascii="Times New Roman" w:eastAsia="Times New Roman" w:hAnsi="Times New Roman" w:cs="Times New Roman"/>
          <w:sz w:val="28"/>
          <w:szCs w:val="28"/>
          <w:lang w:eastAsia="ru-RU"/>
        </w:rPr>
        <w:t xml:space="preserve"> </w:t>
      </w:r>
      <w:proofErr w:type="spellStart"/>
      <w:r w:rsidR="00E04D86">
        <w:rPr>
          <w:rFonts w:ascii="Times New Roman" w:eastAsia="Times New Roman" w:hAnsi="Times New Roman" w:cs="Times New Roman"/>
          <w:sz w:val="28"/>
          <w:szCs w:val="28"/>
          <w:lang w:eastAsia="ru-RU"/>
        </w:rPr>
        <w:t>Ltd</w:t>
      </w:r>
      <w:proofErr w:type="spellEnd"/>
      <w:r w:rsidR="00E04D86">
        <w:rPr>
          <w:rFonts w:ascii="Times New Roman" w:eastAsia="Times New Roman" w:hAnsi="Times New Roman" w:cs="Times New Roman"/>
          <w:sz w:val="28"/>
          <w:szCs w:val="28"/>
          <w:lang w:eastAsia="ru-RU"/>
        </w:rPr>
        <w:t>, а другое  –</w:t>
      </w:r>
      <w:r w:rsidRPr="002C585B">
        <w:rPr>
          <w:rFonts w:ascii="Times New Roman" w:eastAsia="Times New Roman" w:hAnsi="Times New Roman" w:cs="Times New Roman"/>
          <w:sz w:val="28"/>
          <w:szCs w:val="28"/>
          <w:lang w:eastAsia="ru-RU"/>
        </w:rPr>
        <w:t xml:space="preserve"> между </w:t>
      </w:r>
      <w:proofErr w:type="spellStart"/>
      <w:r w:rsidRPr="002C585B">
        <w:rPr>
          <w:rFonts w:ascii="Times New Roman" w:eastAsia="Times New Roman" w:hAnsi="Times New Roman" w:cs="Times New Roman"/>
          <w:sz w:val="28"/>
          <w:szCs w:val="28"/>
          <w:lang w:eastAsia="ru-RU"/>
        </w:rPr>
        <w:t>Hasbro</w:t>
      </w:r>
      <w:proofErr w:type="spellEnd"/>
      <w:r w:rsidRPr="002C585B">
        <w:rPr>
          <w:rFonts w:ascii="Times New Roman" w:eastAsia="Times New Roman" w:hAnsi="Times New Roman" w:cs="Times New Roman"/>
          <w:sz w:val="28"/>
          <w:szCs w:val="28"/>
          <w:lang w:eastAsia="ru-RU"/>
        </w:rPr>
        <w:t xml:space="preserve"> U.K. </w:t>
      </w:r>
      <w:proofErr w:type="spell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lang w:eastAsia="ru-RU"/>
        </w:rPr>
        <w:t xml:space="preserve"> и </w:t>
      </w:r>
      <w:proofErr w:type="spellStart"/>
      <w:r w:rsidRPr="002C585B">
        <w:rPr>
          <w:rFonts w:ascii="Times New Roman" w:eastAsia="Times New Roman" w:hAnsi="Times New Roman" w:cs="Times New Roman"/>
          <w:sz w:val="28"/>
          <w:szCs w:val="28"/>
          <w:lang w:eastAsia="ru-RU"/>
        </w:rPr>
        <w:t>Littlewoods</w:t>
      </w:r>
      <w:proofErr w:type="spellEnd"/>
      <w:r w:rsidRPr="002C585B">
        <w:rPr>
          <w:rFonts w:ascii="Times New Roman" w:eastAsia="Times New Roman" w:hAnsi="Times New Roman" w:cs="Times New Roman"/>
          <w:sz w:val="28"/>
          <w:szCs w:val="28"/>
          <w:lang w:eastAsia="ru-RU"/>
        </w:rPr>
        <w:t xml:space="preserve"> </w:t>
      </w:r>
      <w:proofErr w:type="spell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lang w:eastAsia="ru-RU"/>
        </w:rPr>
        <w:t xml:space="preserve">. Данные соглашения, по мнению </w:t>
      </w:r>
      <w:proofErr w:type="gramStart"/>
      <w:r w:rsidRPr="002C585B">
        <w:rPr>
          <w:rFonts w:ascii="Times New Roman" w:eastAsia="Times New Roman" w:hAnsi="Times New Roman" w:cs="Times New Roman"/>
          <w:sz w:val="28"/>
          <w:szCs w:val="28"/>
          <w:lang w:eastAsia="ru-RU"/>
        </w:rPr>
        <w:t>антимонопольного</w:t>
      </w:r>
      <w:proofErr w:type="gramEnd"/>
      <w:r w:rsidRPr="002C585B">
        <w:rPr>
          <w:rFonts w:ascii="Times New Roman" w:eastAsia="Times New Roman" w:hAnsi="Times New Roman" w:cs="Times New Roman"/>
          <w:sz w:val="28"/>
          <w:szCs w:val="28"/>
          <w:lang w:eastAsia="ru-RU"/>
        </w:rPr>
        <w:t xml:space="preserve"> ведомства, оказали воздействие на торговлю некоторыми игрушками и играми компании </w:t>
      </w:r>
      <w:proofErr w:type="spellStart"/>
      <w:r w:rsidRPr="002C585B">
        <w:rPr>
          <w:rFonts w:ascii="Times New Roman" w:eastAsia="Times New Roman" w:hAnsi="Times New Roman" w:cs="Times New Roman"/>
          <w:sz w:val="28"/>
          <w:szCs w:val="28"/>
          <w:lang w:eastAsia="ru-RU"/>
        </w:rPr>
        <w:t>Hasbro</w:t>
      </w:r>
      <w:proofErr w:type="spellEnd"/>
      <w:r w:rsidRPr="002C585B">
        <w:rPr>
          <w:rFonts w:ascii="Times New Roman" w:eastAsia="Times New Roman" w:hAnsi="Times New Roman" w:cs="Times New Roman"/>
          <w:sz w:val="28"/>
          <w:szCs w:val="28"/>
          <w:lang w:eastAsia="ru-RU"/>
        </w:rPr>
        <w:t xml:space="preserve"> U.K. </w:t>
      </w:r>
      <w:proofErr w:type="spell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lang w:eastAsia="ru-RU"/>
        </w:rPr>
        <w:t xml:space="preserve"> и привели к ограничению и искажению конкуренции в границах Великобритании. В результате рассмотрения дела на компанию </w:t>
      </w:r>
      <w:proofErr w:type="spellStart"/>
      <w:r w:rsidRPr="002C585B">
        <w:rPr>
          <w:rFonts w:ascii="Times New Roman" w:eastAsia="Times New Roman" w:hAnsi="Times New Roman" w:cs="Times New Roman"/>
          <w:sz w:val="28"/>
          <w:szCs w:val="28"/>
          <w:lang w:eastAsia="ru-RU"/>
        </w:rPr>
        <w:t>Argos</w:t>
      </w:r>
      <w:proofErr w:type="spellEnd"/>
      <w:r w:rsidRPr="002C585B">
        <w:rPr>
          <w:rFonts w:ascii="Times New Roman" w:eastAsia="Times New Roman" w:hAnsi="Times New Roman" w:cs="Times New Roman"/>
          <w:sz w:val="28"/>
          <w:szCs w:val="28"/>
          <w:lang w:eastAsia="ru-RU"/>
        </w:rPr>
        <w:t xml:space="preserve"> </w:t>
      </w:r>
      <w:proofErr w:type="spell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lang w:eastAsia="ru-RU"/>
        </w:rPr>
        <w:t xml:space="preserve"> был наложен штраф в размере £17.28 млн.,</w:t>
      </w:r>
      <w:r w:rsidR="00E04D86">
        <w:rPr>
          <w:rFonts w:ascii="Times New Roman" w:eastAsia="Times New Roman" w:hAnsi="Times New Roman" w:cs="Times New Roman"/>
          <w:sz w:val="28"/>
          <w:szCs w:val="28"/>
          <w:lang w:eastAsia="ru-RU"/>
        </w:rPr>
        <w:t xml:space="preserve"> а на компанию </w:t>
      </w:r>
      <w:proofErr w:type="spellStart"/>
      <w:r w:rsidR="00E04D86">
        <w:rPr>
          <w:rFonts w:ascii="Times New Roman" w:eastAsia="Times New Roman" w:hAnsi="Times New Roman" w:cs="Times New Roman"/>
          <w:sz w:val="28"/>
          <w:szCs w:val="28"/>
          <w:lang w:eastAsia="ru-RU"/>
        </w:rPr>
        <w:t>Littlewoods</w:t>
      </w:r>
      <w:proofErr w:type="spellEnd"/>
      <w:r w:rsidR="00E04D86">
        <w:rPr>
          <w:rFonts w:ascii="Times New Roman" w:eastAsia="Times New Roman" w:hAnsi="Times New Roman" w:cs="Times New Roman"/>
          <w:sz w:val="28"/>
          <w:szCs w:val="28"/>
          <w:lang w:eastAsia="ru-RU"/>
        </w:rPr>
        <w:t xml:space="preserve"> </w:t>
      </w:r>
      <w:proofErr w:type="spellStart"/>
      <w:r w:rsidR="00E04D86">
        <w:rPr>
          <w:rFonts w:ascii="Times New Roman" w:eastAsia="Times New Roman" w:hAnsi="Times New Roman" w:cs="Times New Roman"/>
          <w:sz w:val="28"/>
          <w:szCs w:val="28"/>
          <w:lang w:eastAsia="ru-RU"/>
        </w:rPr>
        <w:t>Ltd</w:t>
      </w:r>
      <w:proofErr w:type="spellEnd"/>
      <w:r w:rsidR="00E04D86">
        <w:rPr>
          <w:rFonts w:ascii="Times New Roman" w:eastAsia="Times New Roman" w:hAnsi="Times New Roman" w:cs="Times New Roman"/>
          <w:sz w:val="28"/>
          <w:szCs w:val="28"/>
          <w:lang w:eastAsia="ru-RU"/>
        </w:rPr>
        <w:t xml:space="preserve"> –</w:t>
      </w:r>
      <w:r w:rsidRPr="002C585B">
        <w:rPr>
          <w:rFonts w:ascii="Times New Roman" w:eastAsia="Times New Roman" w:hAnsi="Times New Roman" w:cs="Times New Roman"/>
          <w:sz w:val="28"/>
          <w:szCs w:val="28"/>
          <w:lang w:eastAsia="ru-RU"/>
        </w:rPr>
        <w:t xml:space="preserve"> в размере £5.37 млн. Компании </w:t>
      </w:r>
      <w:proofErr w:type="spellStart"/>
      <w:r w:rsidRPr="002C585B">
        <w:rPr>
          <w:rFonts w:ascii="Times New Roman" w:eastAsia="Times New Roman" w:hAnsi="Times New Roman" w:cs="Times New Roman"/>
          <w:sz w:val="28"/>
          <w:szCs w:val="28"/>
          <w:lang w:eastAsia="ru-RU"/>
        </w:rPr>
        <w:t>Hasbro</w:t>
      </w:r>
      <w:proofErr w:type="spellEnd"/>
      <w:r w:rsidRPr="002C585B">
        <w:rPr>
          <w:rFonts w:ascii="Times New Roman" w:eastAsia="Times New Roman" w:hAnsi="Times New Roman" w:cs="Times New Roman"/>
          <w:sz w:val="28"/>
          <w:szCs w:val="28"/>
          <w:lang w:eastAsia="ru-RU"/>
        </w:rPr>
        <w:t xml:space="preserve"> U.K. </w:t>
      </w:r>
      <w:proofErr w:type="spellStart"/>
      <w:proofErr w:type="gramStart"/>
      <w:r w:rsidRPr="002C585B">
        <w:rPr>
          <w:rFonts w:ascii="Times New Roman" w:eastAsia="Times New Roman" w:hAnsi="Times New Roman" w:cs="Times New Roman"/>
          <w:sz w:val="28"/>
          <w:szCs w:val="28"/>
          <w:lang w:eastAsia="ru-RU"/>
        </w:rPr>
        <w:t>Ltd</w:t>
      </w:r>
      <w:proofErr w:type="spellEnd"/>
      <w:r w:rsidRPr="002C585B">
        <w:rPr>
          <w:rFonts w:ascii="Times New Roman" w:eastAsia="Times New Roman" w:hAnsi="Times New Roman" w:cs="Times New Roman"/>
          <w:sz w:val="28"/>
          <w:szCs w:val="28"/>
          <w:lang w:eastAsia="ru-RU"/>
        </w:rPr>
        <w:t xml:space="preserve"> был вынесен штраф в размере £15.59 млн. При этом в результате отягчающих обстоятельств, в число которых вошли участие в соглашении руководства компании и организация сговора, штраф был повышен на 20%. В то же время в результате смягчающих обстоятельств, в число которых вошли пересмотр и усовершенствование </w:t>
      </w:r>
      <w:proofErr w:type="spellStart"/>
      <w:r w:rsidRPr="002C585B">
        <w:rPr>
          <w:rFonts w:ascii="Times New Roman" w:eastAsia="Times New Roman" w:hAnsi="Times New Roman" w:cs="Times New Roman"/>
          <w:sz w:val="28"/>
          <w:szCs w:val="28"/>
          <w:lang w:eastAsia="ru-RU"/>
        </w:rPr>
        <w:t>комплаенс-программы</w:t>
      </w:r>
      <w:proofErr w:type="spellEnd"/>
      <w:r w:rsidRPr="002C585B">
        <w:rPr>
          <w:rFonts w:ascii="Times New Roman" w:eastAsia="Times New Roman" w:hAnsi="Times New Roman" w:cs="Times New Roman"/>
          <w:sz w:val="28"/>
          <w:szCs w:val="28"/>
          <w:lang w:eastAsia="ru-RU"/>
        </w:rPr>
        <w:t xml:space="preserve">, проведение тренингов для менеджмента компании, </w:t>
      </w:r>
      <w:r w:rsidRPr="002C585B">
        <w:rPr>
          <w:rFonts w:ascii="Times New Roman" w:eastAsia="Times New Roman" w:hAnsi="Times New Roman" w:cs="Times New Roman"/>
          <w:sz w:val="28"/>
          <w:szCs w:val="28"/>
          <w:lang w:eastAsia="ru-RU"/>
        </w:rPr>
        <w:lastRenderedPageBreak/>
        <w:t>штраф был снижен на 10%. В рамках данного</w:t>
      </w:r>
      <w:proofErr w:type="gramEnd"/>
      <w:r w:rsidRPr="002C585B">
        <w:rPr>
          <w:rFonts w:ascii="Times New Roman" w:eastAsia="Times New Roman" w:hAnsi="Times New Roman" w:cs="Times New Roman"/>
          <w:sz w:val="28"/>
          <w:szCs w:val="28"/>
          <w:lang w:eastAsia="ru-RU"/>
        </w:rPr>
        <w:t xml:space="preserve"> дела, мы видим, что наличие и соблюдение эффективной </w:t>
      </w:r>
      <w:proofErr w:type="spellStart"/>
      <w:r w:rsidRPr="002C585B">
        <w:rPr>
          <w:rFonts w:ascii="Times New Roman" w:eastAsia="Times New Roman" w:hAnsi="Times New Roman" w:cs="Times New Roman"/>
          <w:sz w:val="28"/>
          <w:szCs w:val="28"/>
          <w:lang w:eastAsia="ru-RU"/>
        </w:rPr>
        <w:t>комплаенс-программы</w:t>
      </w:r>
      <w:proofErr w:type="spellEnd"/>
      <w:r w:rsidRPr="002C585B">
        <w:rPr>
          <w:rFonts w:ascii="Times New Roman" w:eastAsia="Times New Roman" w:hAnsi="Times New Roman" w:cs="Times New Roman"/>
          <w:sz w:val="28"/>
          <w:szCs w:val="28"/>
          <w:lang w:eastAsia="ru-RU"/>
        </w:rPr>
        <w:t xml:space="preserve"> позволило сохранить компании £1 млн.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Конечно, в мировой практике дискуссионным остается вопрос о том, можно ли признавать разработанный комплекс мер эффективным, если при наличии у компании антимонопольного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w:t>
      </w:r>
      <w:proofErr w:type="gramStart"/>
      <w:r w:rsidRPr="002C585B">
        <w:rPr>
          <w:rFonts w:ascii="Times New Roman" w:eastAsia="Times New Roman" w:hAnsi="Times New Roman" w:cs="Times New Roman"/>
          <w:sz w:val="28"/>
          <w:szCs w:val="28"/>
          <w:lang w:eastAsia="ru-RU"/>
        </w:rPr>
        <w:t>нарушение</w:t>
      </w:r>
      <w:proofErr w:type="gramEnd"/>
      <w:r w:rsidRPr="002C585B">
        <w:rPr>
          <w:rFonts w:ascii="Times New Roman" w:eastAsia="Times New Roman" w:hAnsi="Times New Roman" w:cs="Times New Roman"/>
          <w:sz w:val="28"/>
          <w:szCs w:val="28"/>
          <w:lang w:eastAsia="ru-RU"/>
        </w:rPr>
        <w:t xml:space="preserve"> тем не менее не удалось предотвратить либо выявить на самой ранней стадии. Поэтому внедрение данного института в РФ является сложным и дискуссионным вопросом, но на наш взгляд, положительных моментов от его внедрения больше.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Так, с позиции антимонопольного органа задачами стимулирования внедрения компаниями антимонопольного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являются: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повышение знания компаниями антимонопольного законодательства;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снижение числа антимонопольных нарушений и, как следствие,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снижение нагрузки на антимонопольный орган и высвобождение времени для более детальной работы над другими антимонопольными делами.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Таким образом, ключевой целью антимонопольного ведомства является поддержка и поощрение стремления компании к действительному соблюдению антимонопольного законодательства.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С точки зрения компаний основная цель внедрения системы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двояка. С одной стороны, она состоит в минимизации рисков антимонопольных нарушений, в том числе непреднамеренных, и антимонопольного преследования (снижение рисков получить оборотные штрафы, снижение </w:t>
      </w:r>
      <w:proofErr w:type="spellStart"/>
      <w:r w:rsidRPr="002C585B">
        <w:rPr>
          <w:rFonts w:ascii="Times New Roman" w:eastAsia="Times New Roman" w:hAnsi="Times New Roman" w:cs="Times New Roman"/>
          <w:sz w:val="28"/>
          <w:szCs w:val="28"/>
          <w:lang w:eastAsia="ru-RU"/>
        </w:rPr>
        <w:t>репутационных</w:t>
      </w:r>
      <w:proofErr w:type="spellEnd"/>
      <w:r w:rsidRPr="002C585B">
        <w:rPr>
          <w:rFonts w:ascii="Times New Roman" w:eastAsia="Times New Roman" w:hAnsi="Times New Roman" w:cs="Times New Roman"/>
          <w:sz w:val="28"/>
          <w:szCs w:val="28"/>
          <w:lang w:eastAsia="ru-RU"/>
        </w:rPr>
        <w:t xml:space="preserve"> рисков). Кроме того, </w:t>
      </w:r>
      <w:proofErr w:type="spellStart"/>
      <w:r w:rsidRPr="002C585B">
        <w:rPr>
          <w:rFonts w:ascii="Times New Roman" w:eastAsia="Times New Roman" w:hAnsi="Times New Roman" w:cs="Times New Roman"/>
          <w:sz w:val="28"/>
          <w:szCs w:val="28"/>
          <w:lang w:eastAsia="ru-RU"/>
        </w:rPr>
        <w:t>комплаенс</w:t>
      </w:r>
      <w:proofErr w:type="spellEnd"/>
      <w:r w:rsidRPr="002C585B">
        <w:rPr>
          <w:rFonts w:ascii="Times New Roman" w:eastAsia="Times New Roman" w:hAnsi="Times New Roman" w:cs="Times New Roman"/>
          <w:sz w:val="28"/>
          <w:szCs w:val="28"/>
          <w:lang w:eastAsia="ru-RU"/>
        </w:rPr>
        <w:t xml:space="preserve"> позволяет компаниям на постоянной основе адаптировать бизнес-процессы к требованиям антимонопольного законодательства, изменение которого происходит достаточно динамично. С другой стороны, внедрение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может предоставить компаниям дополнительное основание для снижения </w:t>
      </w:r>
      <w:r w:rsidRPr="002C585B">
        <w:rPr>
          <w:rFonts w:ascii="Times New Roman" w:eastAsia="Times New Roman" w:hAnsi="Times New Roman" w:cs="Times New Roman"/>
          <w:sz w:val="28"/>
          <w:szCs w:val="28"/>
          <w:lang w:eastAsia="ru-RU"/>
        </w:rPr>
        <w:lastRenderedPageBreak/>
        <w:t xml:space="preserve">административных штрафов для юридических и должностных лиц, </w:t>
      </w:r>
      <w:proofErr w:type="gramStart"/>
      <w:r w:rsidRPr="002C585B">
        <w:rPr>
          <w:rFonts w:ascii="Times New Roman" w:eastAsia="Times New Roman" w:hAnsi="Times New Roman" w:cs="Times New Roman"/>
          <w:sz w:val="28"/>
          <w:szCs w:val="28"/>
          <w:lang w:eastAsia="ru-RU"/>
        </w:rPr>
        <w:t>а</w:t>
      </w:r>
      <w:proofErr w:type="gramEnd"/>
      <w:r w:rsidRPr="002C585B">
        <w:rPr>
          <w:rFonts w:ascii="Times New Roman" w:eastAsia="Times New Roman" w:hAnsi="Times New Roman" w:cs="Times New Roman"/>
          <w:sz w:val="28"/>
          <w:szCs w:val="28"/>
          <w:lang w:eastAsia="ru-RU"/>
        </w:rPr>
        <w:t xml:space="preserve"> следовательно, экономически мотивировать.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На наш взгляд, внедрение в антимонопольное законодательство РФ положений о возможности снижения ответственности в случае наличия программы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будет являться лишь поводом для формального создания данной программы, но не будет мотивировать компанию соблюдать ее.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proofErr w:type="gramStart"/>
      <w:r w:rsidRPr="002C585B">
        <w:rPr>
          <w:rFonts w:ascii="Times New Roman" w:eastAsia="Times New Roman" w:hAnsi="Times New Roman" w:cs="Times New Roman"/>
          <w:sz w:val="28"/>
          <w:szCs w:val="28"/>
          <w:lang w:eastAsia="ru-RU"/>
        </w:rPr>
        <w:t xml:space="preserve">А вот закрепление норм, которые бы устанавливали, что в случае наличия на предприятии эффективной программы </w:t>
      </w:r>
      <w:proofErr w:type="spellStart"/>
      <w:r w:rsidRPr="002C585B">
        <w:rPr>
          <w:rFonts w:ascii="Times New Roman" w:eastAsia="Times New Roman" w:hAnsi="Times New Roman" w:cs="Times New Roman"/>
          <w:sz w:val="28"/>
          <w:szCs w:val="28"/>
          <w:lang w:eastAsia="ru-RU"/>
        </w:rPr>
        <w:t>комплаенса</w:t>
      </w:r>
      <w:proofErr w:type="spellEnd"/>
      <w:r w:rsidRPr="002C585B">
        <w:rPr>
          <w:rFonts w:ascii="Times New Roman" w:eastAsia="Times New Roman" w:hAnsi="Times New Roman" w:cs="Times New Roman"/>
          <w:sz w:val="28"/>
          <w:szCs w:val="28"/>
          <w:lang w:eastAsia="ru-RU"/>
        </w:rPr>
        <w:t xml:space="preserve">, а также ее соблюдение учитываются антимонопольным органом и судом в рамках разбирательства и являются основанием для снижения штрафов, будут являться огромным толчком для снижения уровня </w:t>
      </w:r>
      <w:proofErr w:type="spellStart"/>
      <w:r w:rsidRPr="002C585B">
        <w:rPr>
          <w:rFonts w:ascii="Times New Roman" w:eastAsia="Times New Roman" w:hAnsi="Times New Roman" w:cs="Times New Roman"/>
          <w:sz w:val="28"/>
          <w:szCs w:val="28"/>
          <w:lang w:eastAsia="ru-RU"/>
        </w:rPr>
        <w:t>картелизации</w:t>
      </w:r>
      <w:proofErr w:type="spellEnd"/>
      <w:r w:rsidRPr="002C585B">
        <w:rPr>
          <w:rFonts w:ascii="Times New Roman" w:eastAsia="Times New Roman" w:hAnsi="Times New Roman" w:cs="Times New Roman"/>
          <w:sz w:val="28"/>
          <w:szCs w:val="28"/>
          <w:lang w:eastAsia="ru-RU"/>
        </w:rPr>
        <w:t xml:space="preserve"> экономики и в целом для развития конкуренции, поскольку у самих хозяйствующих субъектов будет мотивация для соблюдения норм антимонопольного</w:t>
      </w:r>
      <w:proofErr w:type="gramEnd"/>
      <w:r w:rsidRPr="002C585B">
        <w:rPr>
          <w:rFonts w:ascii="Times New Roman" w:eastAsia="Times New Roman" w:hAnsi="Times New Roman" w:cs="Times New Roman"/>
          <w:sz w:val="28"/>
          <w:szCs w:val="28"/>
          <w:lang w:eastAsia="ru-RU"/>
        </w:rPr>
        <w:t xml:space="preserve"> законодательства.</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На наш взгляд, второй путь </w:t>
      </w:r>
      <w:proofErr w:type="gramStart"/>
      <w:r w:rsidRPr="002C585B">
        <w:rPr>
          <w:rFonts w:ascii="Times New Roman" w:eastAsia="Times New Roman" w:hAnsi="Times New Roman" w:cs="Times New Roman"/>
          <w:sz w:val="28"/>
          <w:szCs w:val="28"/>
          <w:lang w:eastAsia="ru-RU"/>
        </w:rPr>
        <w:t>заинтересовать хозяйствующих субъектов соблюдать</w:t>
      </w:r>
      <w:proofErr w:type="gramEnd"/>
      <w:r w:rsidRPr="002C585B">
        <w:rPr>
          <w:rFonts w:ascii="Times New Roman" w:eastAsia="Times New Roman" w:hAnsi="Times New Roman" w:cs="Times New Roman"/>
          <w:sz w:val="28"/>
          <w:szCs w:val="28"/>
          <w:lang w:eastAsia="ru-RU"/>
        </w:rPr>
        <w:t xml:space="preserve"> нормы, связанные с запретом картелей – это ужесточение ответственности за заключение таких горизонтальных </w:t>
      </w:r>
      <w:proofErr w:type="spellStart"/>
      <w:r w:rsidRPr="002C585B">
        <w:rPr>
          <w:rFonts w:ascii="Times New Roman" w:eastAsia="Times New Roman" w:hAnsi="Times New Roman" w:cs="Times New Roman"/>
          <w:sz w:val="28"/>
          <w:szCs w:val="28"/>
          <w:lang w:eastAsia="ru-RU"/>
        </w:rPr>
        <w:t>антиконкурентных</w:t>
      </w:r>
      <w:proofErr w:type="spellEnd"/>
      <w:r w:rsidRPr="002C585B">
        <w:rPr>
          <w:rFonts w:ascii="Times New Roman" w:eastAsia="Times New Roman" w:hAnsi="Times New Roman" w:cs="Times New Roman"/>
          <w:sz w:val="28"/>
          <w:szCs w:val="28"/>
          <w:lang w:eastAsia="ru-RU"/>
        </w:rPr>
        <w:t xml:space="preserve"> соглашений. Но прежде, чем ужесточать ответственность, видим необходимым, решить ряд проблем с доказыванием </w:t>
      </w:r>
      <w:proofErr w:type="spellStart"/>
      <w:r w:rsidRPr="002C585B">
        <w:rPr>
          <w:rFonts w:ascii="Times New Roman" w:eastAsia="Times New Roman" w:hAnsi="Times New Roman" w:cs="Times New Roman"/>
          <w:sz w:val="28"/>
          <w:szCs w:val="28"/>
          <w:lang w:eastAsia="ru-RU"/>
        </w:rPr>
        <w:t>антиконкурентных</w:t>
      </w:r>
      <w:proofErr w:type="spellEnd"/>
      <w:r w:rsidRPr="002C585B">
        <w:rPr>
          <w:rFonts w:ascii="Times New Roman" w:eastAsia="Times New Roman" w:hAnsi="Times New Roman" w:cs="Times New Roman"/>
          <w:sz w:val="28"/>
          <w:szCs w:val="28"/>
          <w:lang w:eastAsia="ru-RU"/>
        </w:rPr>
        <w:t xml:space="preserve"> соглашений.</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 До мая 2007 года в активе антимонопольных органов практически не существовало адекватных мер ответственности за нарушение требований антимонопольного законодательства.  Хотя за рубежом в тоже самое время на нарушителей принципов свободной конкуренции </w:t>
      </w:r>
      <w:proofErr w:type="gramStart"/>
      <w:r w:rsidRPr="002C585B">
        <w:rPr>
          <w:rFonts w:ascii="Times New Roman" w:eastAsia="Times New Roman" w:hAnsi="Times New Roman" w:cs="Times New Roman"/>
          <w:sz w:val="28"/>
          <w:szCs w:val="28"/>
          <w:lang w:eastAsia="ru-RU"/>
        </w:rPr>
        <w:t>накладывались многомиллионные штрафы</w:t>
      </w:r>
      <w:proofErr w:type="gramEnd"/>
      <w:r w:rsidRPr="002C585B">
        <w:rPr>
          <w:rFonts w:ascii="Times New Roman" w:eastAsia="Times New Roman" w:hAnsi="Times New Roman" w:cs="Times New Roman"/>
          <w:sz w:val="28"/>
          <w:szCs w:val="28"/>
          <w:lang w:eastAsia="ru-RU"/>
        </w:rPr>
        <w:t>, в РФ номинально существовали ст. 178 Уголовного кодекса, которая фактически не работала и пару статей в Кодексе об административных отношениях</w:t>
      </w:r>
      <w:r w:rsidRPr="002C585B">
        <w:rPr>
          <w:rFonts w:ascii="Times New Roman" w:eastAsia="Times New Roman" w:hAnsi="Times New Roman" w:cs="Times New Roman"/>
          <w:sz w:val="28"/>
          <w:szCs w:val="28"/>
          <w:vertAlign w:val="superscript"/>
          <w:lang w:eastAsia="ru-RU"/>
        </w:rPr>
        <w:footnoteReference w:id="6"/>
      </w:r>
      <w:r w:rsidRPr="002C585B">
        <w:rPr>
          <w:rFonts w:ascii="Times New Roman" w:eastAsia="Times New Roman" w:hAnsi="Times New Roman" w:cs="Times New Roman"/>
          <w:sz w:val="28"/>
          <w:szCs w:val="28"/>
          <w:lang w:eastAsia="ru-RU"/>
        </w:rPr>
        <w:t xml:space="preserve">, далее </w:t>
      </w:r>
      <w:proofErr w:type="spellStart"/>
      <w:r w:rsidRPr="002C585B">
        <w:rPr>
          <w:rFonts w:ascii="Times New Roman" w:eastAsia="Times New Roman" w:hAnsi="Times New Roman" w:cs="Times New Roman"/>
          <w:sz w:val="28"/>
          <w:szCs w:val="28"/>
          <w:lang w:eastAsia="ru-RU"/>
        </w:rPr>
        <w:t>КоАП</w:t>
      </w:r>
      <w:proofErr w:type="spellEnd"/>
      <w:r w:rsidRPr="002C585B">
        <w:rPr>
          <w:rFonts w:ascii="Times New Roman" w:eastAsia="Times New Roman" w:hAnsi="Times New Roman" w:cs="Times New Roman"/>
          <w:sz w:val="28"/>
          <w:szCs w:val="28"/>
          <w:lang w:eastAsia="ru-RU"/>
        </w:rPr>
        <w:t xml:space="preserve"> РФ</w:t>
      </w:r>
      <w:r w:rsidRPr="002C585B">
        <w:rPr>
          <w:rFonts w:ascii="Times New Roman" w:eastAsia="Times New Roman" w:hAnsi="Times New Roman" w:cs="Times New Roman"/>
          <w:sz w:val="28"/>
          <w:szCs w:val="28"/>
          <w:vertAlign w:val="superscript"/>
          <w:lang w:eastAsia="ru-RU"/>
        </w:rPr>
        <w:footnoteReference w:id="7"/>
      </w:r>
      <w:r w:rsidRPr="002C585B">
        <w:rPr>
          <w:rFonts w:ascii="Times New Roman" w:eastAsia="Times New Roman" w:hAnsi="Times New Roman" w:cs="Times New Roman"/>
          <w:sz w:val="28"/>
          <w:szCs w:val="28"/>
          <w:lang w:eastAsia="ru-RU"/>
        </w:rPr>
        <w:t xml:space="preserve">.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lastRenderedPageBreak/>
        <w:t xml:space="preserve">Но в настоящее время в результате коренной перестройки норм, регулирующих отношения в сфере конкуренции, ситуация изменилась и государством создан серьезный барьер деяниям, противоречащим принципам свободной конкуренции, в том числе </w:t>
      </w:r>
      <w:proofErr w:type="spellStart"/>
      <w:r w:rsidRPr="002C585B">
        <w:rPr>
          <w:rFonts w:ascii="Times New Roman" w:eastAsia="Times New Roman" w:hAnsi="Times New Roman" w:cs="Times New Roman"/>
          <w:sz w:val="28"/>
          <w:szCs w:val="28"/>
          <w:lang w:eastAsia="ru-RU"/>
        </w:rPr>
        <w:t>антиконкурентным</w:t>
      </w:r>
      <w:proofErr w:type="spellEnd"/>
      <w:r w:rsidRPr="002C585B">
        <w:rPr>
          <w:rFonts w:ascii="Times New Roman" w:eastAsia="Times New Roman" w:hAnsi="Times New Roman" w:cs="Times New Roman"/>
          <w:sz w:val="28"/>
          <w:szCs w:val="28"/>
          <w:lang w:eastAsia="ru-RU"/>
        </w:rPr>
        <w:t xml:space="preserve"> соглашениям. </w:t>
      </w:r>
    </w:p>
    <w:p w:rsidR="002C585B" w:rsidRPr="002C585B" w:rsidRDefault="002C585B" w:rsidP="002C585B">
      <w:pPr>
        <w:spacing w:after="0" w:line="360" w:lineRule="auto"/>
        <w:ind w:firstLine="709"/>
        <w:jc w:val="both"/>
        <w:rPr>
          <w:rFonts w:ascii="Times New Roman" w:eastAsia="Times New Roman" w:hAnsi="Times New Roman" w:cs="Times New Roman"/>
          <w:bCs/>
          <w:sz w:val="28"/>
          <w:szCs w:val="28"/>
          <w:lang w:eastAsia="ru-RU"/>
        </w:rPr>
      </w:pPr>
      <w:r w:rsidRPr="002C585B">
        <w:rPr>
          <w:rFonts w:ascii="Times New Roman" w:eastAsia="Times New Roman" w:hAnsi="Times New Roman" w:cs="Times New Roman"/>
          <w:sz w:val="28"/>
          <w:szCs w:val="28"/>
          <w:lang w:eastAsia="ru-RU"/>
        </w:rPr>
        <w:t xml:space="preserve">Но также существует и ряд проблем, связанных с доказыванием картельных соглашений. Одно </w:t>
      </w:r>
      <w:r w:rsidRPr="002C585B">
        <w:rPr>
          <w:rFonts w:ascii="Times New Roman" w:eastAsia="Times New Roman" w:hAnsi="Times New Roman" w:cs="Times New Roman"/>
          <w:bCs/>
          <w:sz w:val="28"/>
          <w:szCs w:val="28"/>
          <w:lang w:eastAsia="ru-RU"/>
        </w:rPr>
        <w:t xml:space="preserve">только понятие соглашения, которое </w:t>
      </w:r>
      <w:proofErr w:type="gramStart"/>
      <w:r w:rsidRPr="002C585B">
        <w:rPr>
          <w:rFonts w:ascii="Times New Roman" w:eastAsia="Times New Roman" w:hAnsi="Times New Roman" w:cs="Times New Roman"/>
          <w:bCs/>
          <w:sz w:val="28"/>
          <w:szCs w:val="28"/>
          <w:lang w:eastAsia="ru-RU"/>
        </w:rPr>
        <w:t>содержится в Законе о защите конкуренции дает</w:t>
      </w:r>
      <w:proofErr w:type="gramEnd"/>
      <w:r w:rsidRPr="002C585B">
        <w:rPr>
          <w:rFonts w:ascii="Times New Roman" w:eastAsia="Times New Roman" w:hAnsi="Times New Roman" w:cs="Times New Roman"/>
          <w:bCs/>
          <w:sz w:val="28"/>
          <w:szCs w:val="28"/>
          <w:lang w:eastAsia="ru-RU"/>
        </w:rPr>
        <w:t xml:space="preserve"> нам множество поводов для размышления. Так, соглашение может быть заключено как в письменной, так и в устной форме. Письменная форма имеет место тогда, когда договоренность выражена в одном или нескольких документах. При этом Закон ничего не говорит о том, что означает письменная форма применительно к соглашению. В частности, нужно ли, чтобы письменный документ был подписан сторонами? Нужно ли, чтобы этот письменный документ был подписан уполномоченными представителями сторон? Понятие устной формы соглашения Законом о защите конкуренции тоже не раскрывается. Полагаем, что отсутствие какого-либо регулирования этого и других вопросов, которые традиционно регулируются гражданским законодательством применительно к договорам, выражает намерение законодателя считать соглашением любую договоренность, из которой следует воля сторон следовать этим договоренностям. Также не вызывает сомнения тот факт, что, формулируя понятие соглашения, законодатель в той или иной степени ориентировался на нормы ГК РФ. Исходя из позиции Президиума ВАС РФ</w:t>
      </w:r>
      <w:r w:rsidRPr="002C585B">
        <w:rPr>
          <w:rFonts w:ascii="Times New Roman" w:eastAsia="Times New Roman" w:hAnsi="Times New Roman" w:cs="Times New Roman"/>
          <w:bCs/>
          <w:sz w:val="28"/>
          <w:szCs w:val="28"/>
          <w:vertAlign w:val="superscript"/>
          <w:lang w:eastAsia="ru-RU"/>
        </w:rPr>
        <w:footnoteReference w:id="8"/>
      </w:r>
      <w:r w:rsidRPr="002C585B">
        <w:rPr>
          <w:rFonts w:ascii="Times New Roman" w:eastAsia="Times New Roman" w:hAnsi="Times New Roman" w:cs="Times New Roman"/>
          <w:bCs/>
          <w:sz w:val="28"/>
          <w:szCs w:val="28"/>
          <w:lang w:eastAsia="ru-RU"/>
        </w:rPr>
        <w:t xml:space="preserve"> делается вывод, что соглашение по смыслу антимонопольного законодательства не равнозначно понятию </w:t>
      </w:r>
      <w:proofErr w:type="spellStart"/>
      <w:r w:rsidRPr="002C585B">
        <w:rPr>
          <w:rFonts w:ascii="Times New Roman" w:eastAsia="Times New Roman" w:hAnsi="Times New Roman" w:cs="Times New Roman"/>
          <w:bCs/>
          <w:sz w:val="28"/>
          <w:szCs w:val="28"/>
          <w:lang w:eastAsia="ru-RU"/>
        </w:rPr>
        <w:t>гражданск</w:t>
      </w:r>
      <w:proofErr w:type="gramStart"/>
      <w:r w:rsidRPr="002C585B">
        <w:rPr>
          <w:rFonts w:ascii="Times New Roman" w:eastAsia="Times New Roman" w:hAnsi="Times New Roman" w:cs="Times New Roman"/>
          <w:bCs/>
          <w:sz w:val="28"/>
          <w:szCs w:val="28"/>
          <w:lang w:eastAsia="ru-RU"/>
        </w:rPr>
        <w:t>о</w:t>
      </w:r>
      <w:proofErr w:type="spellEnd"/>
      <w:r w:rsidRPr="002C585B">
        <w:rPr>
          <w:rFonts w:ascii="Times New Roman" w:eastAsia="Times New Roman" w:hAnsi="Times New Roman" w:cs="Times New Roman"/>
          <w:bCs/>
          <w:sz w:val="28"/>
          <w:szCs w:val="28"/>
          <w:lang w:eastAsia="ru-RU"/>
        </w:rPr>
        <w:t>-</w:t>
      </w:r>
      <w:proofErr w:type="gramEnd"/>
      <w:r w:rsidRPr="002C585B">
        <w:rPr>
          <w:rFonts w:ascii="Times New Roman" w:eastAsia="Times New Roman" w:hAnsi="Times New Roman" w:cs="Times New Roman"/>
          <w:bCs/>
          <w:sz w:val="28"/>
          <w:szCs w:val="28"/>
          <w:lang w:eastAsia="ru-RU"/>
        </w:rPr>
        <w:t xml:space="preserve"> правового договора, и для разрешения тех или иных вопросов, связанных с </w:t>
      </w:r>
      <w:r w:rsidRPr="002C585B">
        <w:rPr>
          <w:rFonts w:ascii="Times New Roman" w:eastAsia="Times New Roman" w:hAnsi="Times New Roman" w:cs="Times New Roman"/>
          <w:bCs/>
          <w:sz w:val="28"/>
          <w:szCs w:val="28"/>
          <w:lang w:eastAsia="ru-RU"/>
        </w:rPr>
        <w:lastRenderedPageBreak/>
        <w:t>соглашением, пользоваться нормами ГК РФ недопустимо</w:t>
      </w:r>
      <w:r w:rsidRPr="002C585B">
        <w:rPr>
          <w:rFonts w:ascii="Times New Roman" w:eastAsia="Times New Roman" w:hAnsi="Times New Roman" w:cs="Times New Roman"/>
          <w:bCs/>
          <w:sz w:val="28"/>
          <w:szCs w:val="28"/>
          <w:vertAlign w:val="superscript"/>
          <w:lang w:eastAsia="ru-RU"/>
        </w:rPr>
        <w:footnoteReference w:id="9"/>
      </w:r>
      <w:r w:rsidRPr="002C585B">
        <w:rPr>
          <w:rFonts w:ascii="Times New Roman" w:eastAsia="Times New Roman" w:hAnsi="Times New Roman" w:cs="Times New Roman"/>
          <w:bCs/>
          <w:sz w:val="28"/>
          <w:szCs w:val="28"/>
          <w:lang w:eastAsia="ru-RU"/>
        </w:rPr>
        <w:t>. И это только малый перечень сложностей, который может возникнуть у антимонопольного органа, суда при квалификации соглашения.</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bCs/>
          <w:sz w:val="28"/>
          <w:szCs w:val="28"/>
          <w:lang w:eastAsia="ru-RU"/>
        </w:rPr>
        <w:t xml:space="preserve">Мы считаем, что в связи с этим, </w:t>
      </w:r>
      <w:r w:rsidRPr="002C585B">
        <w:rPr>
          <w:rFonts w:ascii="Times New Roman" w:eastAsia="Times New Roman" w:hAnsi="Times New Roman" w:cs="Times New Roman"/>
          <w:sz w:val="28"/>
          <w:szCs w:val="28"/>
          <w:lang w:eastAsia="ru-RU"/>
        </w:rPr>
        <w:t xml:space="preserve">например, уголовных дел, возбужденных по ст. 178 УК РФ минимальное количество, хотя и с тенденцией к росту. Так, об этом руководитель ФАС России Игорь Артемьев рассказал в ходе совещания по конкуренции и антимонопольному регулированию и руководителей антимонопольных органов государств-членов Евразийского экономического союза, которое состоялось 16 февраля 2018 года. </w:t>
      </w:r>
      <w:proofErr w:type="gramStart"/>
      <w:r w:rsidRPr="002C585B">
        <w:rPr>
          <w:rFonts w:ascii="Times New Roman" w:eastAsia="Times New Roman" w:hAnsi="Times New Roman" w:cs="Times New Roman"/>
          <w:sz w:val="28"/>
          <w:szCs w:val="28"/>
          <w:lang w:eastAsia="ru-RU"/>
        </w:rPr>
        <w:t>Он отметил, что в 2017 году по ст. 178 УК РФ было возбуждено 9 дел, а в 2016 году – 3 дела</w:t>
      </w:r>
      <w:r w:rsidRPr="002C585B">
        <w:rPr>
          <w:rFonts w:ascii="Times New Roman" w:eastAsia="Times New Roman" w:hAnsi="Times New Roman" w:cs="Times New Roman"/>
          <w:sz w:val="28"/>
          <w:szCs w:val="28"/>
          <w:vertAlign w:val="superscript"/>
          <w:lang w:eastAsia="ru-RU"/>
        </w:rPr>
        <w:footnoteReference w:id="10"/>
      </w:r>
      <w:r w:rsidRPr="002C585B">
        <w:rPr>
          <w:rFonts w:ascii="Times New Roman" w:eastAsia="Times New Roman" w:hAnsi="Times New Roman" w:cs="Times New Roman"/>
          <w:sz w:val="28"/>
          <w:szCs w:val="28"/>
          <w:lang w:eastAsia="ru-RU"/>
        </w:rPr>
        <w:t>. На наш взгляд, такое незначительное количество уголовных дел связано не с тем, что просто не существует картелей, а, во-первых, с тем, что доказать наличие картеля очень сложно, а во-вторых, с тем, что недостаточно скоординирована деятельность правоохранительных и антимонопольных органов</w:t>
      </w:r>
      <w:proofErr w:type="gramEnd"/>
      <w:r w:rsidRPr="002C585B">
        <w:rPr>
          <w:rFonts w:ascii="Times New Roman" w:eastAsia="Times New Roman" w:hAnsi="Times New Roman" w:cs="Times New Roman"/>
          <w:sz w:val="28"/>
          <w:szCs w:val="28"/>
          <w:lang w:eastAsia="ru-RU"/>
        </w:rPr>
        <w:t xml:space="preserve">. </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Поэтому прежде, чем ужесточать ответственность за заключение </w:t>
      </w:r>
      <w:proofErr w:type="spellStart"/>
      <w:r w:rsidRPr="002C585B">
        <w:rPr>
          <w:rFonts w:ascii="Times New Roman" w:eastAsia="Times New Roman" w:hAnsi="Times New Roman" w:cs="Times New Roman"/>
          <w:sz w:val="28"/>
          <w:szCs w:val="28"/>
          <w:lang w:eastAsia="ru-RU"/>
        </w:rPr>
        <w:t>антиконкурентных</w:t>
      </w:r>
      <w:proofErr w:type="spellEnd"/>
      <w:r w:rsidRPr="002C585B">
        <w:rPr>
          <w:rFonts w:ascii="Times New Roman" w:eastAsia="Times New Roman" w:hAnsi="Times New Roman" w:cs="Times New Roman"/>
          <w:sz w:val="28"/>
          <w:szCs w:val="28"/>
          <w:lang w:eastAsia="ru-RU"/>
        </w:rPr>
        <w:t xml:space="preserve"> соглашений, мы считаем необходимым выработать практику их доказывания. Поскольку зачастую даже не ясно, какие доказательства при доказывании </w:t>
      </w:r>
      <w:proofErr w:type="spellStart"/>
      <w:r w:rsidRPr="002C585B">
        <w:rPr>
          <w:rFonts w:ascii="Times New Roman" w:eastAsia="Times New Roman" w:hAnsi="Times New Roman" w:cs="Times New Roman"/>
          <w:sz w:val="28"/>
          <w:szCs w:val="28"/>
          <w:lang w:eastAsia="ru-RU"/>
        </w:rPr>
        <w:t>антиконкурентных</w:t>
      </w:r>
      <w:proofErr w:type="spellEnd"/>
      <w:r w:rsidRPr="002C585B">
        <w:rPr>
          <w:rFonts w:ascii="Times New Roman" w:eastAsia="Times New Roman" w:hAnsi="Times New Roman" w:cs="Times New Roman"/>
          <w:sz w:val="28"/>
          <w:szCs w:val="28"/>
          <w:lang w:eastAsia="ru-RU"/>
        </w:rPr>
        <w:t xml:space="preserve"> соглашений могут быть использованы в ходе разбирательства.</w:t>
      </w:r>
    </w:p>
    <w:p w:rsidR="002C585B" w:rsidRPr="002C585B" w:rsidRDefault="002C585B" w:rsidP="002C585B">
      <w:pPr>
        <w:spacing w:after="0" w:line="360" w:lineRule="auto"/>
        <w:ind w:firstLine="709"/>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sz w:val="28"/>
          <w:szCs w:val="28"/>
          <w:lang w:eastAsia="ru-RU"/>
        </w:rPr>
        <w:t xml:space="preserve">В завершении хотелось бы отметить, что </w:t>
      </w:r>
      <w:r w:rsidRPr="002C585B">
        <w:rPr>
          <w:rFonts w:ascii="Times New Roman" w:eastAsia="Times New Roman" w:hAnsi="Times New Roman" w:cs="Times New Roman"/>
          <w:color w:val="000000"/>
          <w:sz w:val="28"/>
          <w:szCs w:val="28"/>
          <w:lang w:eastAsia="ru-RU"/>
        </w:rPr>
        <w:t xml:space="preserve">одним из наиболее важных моментов для становления рыночных отношений является наличие конкурентной среды. Именно необходимость продать товар и продать его на наиболее выгодных условиях ведет к созданию конкуренции и заставляет предпринимателей учитывать ее требования. В настоящее время актуальность проблем правового содействия развитию конкуренции не </w:t>
      </w:r>
      <w:r w:rsidRPr="002C585B">
        <w:rPr>
          <w:rFonts w:ascii="Times New Roman" w:eastAsia="Times New Roman" w:hAnsi="Times New Roman" w:cs="Times New Roman"/>
          <w:color w:val="000000"/>
          <w:sz w:val="28"/>
          <w:szCs w:val="28"/>
          <w:lang w:eastAsia="ru-RU"/>
        </w:rPr>
        <w:lastRenderedPageBreak/>
        <w:t>вызывает сомнение. С одной стороны, на отдельных рынках по-прежнему отсутствует полноценная рыночная конкуренция и необходимо принятие </w:t>
      </w:r>
      <w:r w:rsidRPr="002C585B">
        <w:rPr>
          <w:rFonts w:ascii="Times New Roman" w:eastAsia="Times New Roman" w:hAnsi="Times New Roman" w:cs="Times New Roman"/>
          <w:sz w:val="28"/>
          <w:szCs w:val="28"/>
          <w:lang w:eastAsia="ru-RU"/>
        </w:rPr>
        <w:t>законодательных</w:t>
      </w:r>
      <w:r w:rsidRPr="002C585B">
        <w:rPr>
          <w:rFonts w:ascii="Times New Roman" w:eastAsia="Times New Roman" w:hAnsi="Times New Roman" w:cs="Times New Roman"/>
          <w:color w:val="000000"/>
          <w:sz w:val="28"/>
          <w:szCs w:val="28"/>
          <w:lang w:eastAsia="ru-RU"/>
        </w:rPr>
        <w:t> и иных мер, направленных на создание и развитие конкурентных отношений. Почти не исследуются меры стимулирования конкуренции. В отдельных публикациях появляются упоминания о мерах, направленных на появление новых конкурентоспособных субъектов, таких как развитие малого предпринимательства, приватизация, регулирование внешнеэкономической деятельности.</w:t>
      </w:r>
    </w:p>
    <w:p w:rsidR="002C585B" w:rsidRPr="002C585B" w:rsidRDefault="002C585B" w:rsidP="002C585B">
      <w:pPr>
        <w:spacing w:after="0" w:line="360" w:lineRule="auto"/>
        <w:ind w:firstLine="709"/>
        <w:jc w:val="both"/>
        <w:rPr>
          <w:rFonts w:ascii="Times New Roman" w:eastAsia="Times New Roman" w:hAnsi="Times New Roman" w:cs="Times New Roman"/>
          <w:sz w:val="28"/>
          <w:szCs w:val="28"/>
          <w:lang w:eastAsia="ru-RU"/>
        </w:rPr>
      </w:pPr>
      <w:r w:rsidRPr="002C585B">
        <w:rPr>
          <w:rFonts w:ascii="Times New Roman" w:eastAsia="Times New Roman" w:hAnsi="Times New Roman" w:cs="Times New Roman"/>
          <w:sz w:val="28"/>
          <w:szCs w:val="28"/>
          <w:lang w:eastAsia="ru-RU"/>
        </w:rPr>
        <w:t xml:space="preserve">Таким образом, теоретическая и практическая значимость изучения вопросов противодействия </w:t>
      </w:r>
      <w:proofErr w:type="spellStart"/>
      <w:r w:rsidRPr="002C585B">
        <w:rPr>
          <w:rFonts w:ascii="Times New Roman" w:eastAsia="Times New Roman" w:hAnsi="Times New Roman" w:cs="Times New Roman"/>
          <w:sz w:val="28"/>
          <w:szCs w:val="28"/>
          <w:lang w:eastAsia="ru-RU"/>
        </w:rPr>
        <w:t>антиконкурентным</w:t>
      </w:r>
      <w:proofErr w:type="spellEnd"/>
      <w:r w:rsidRPr="002C585B">
        <w:rPr>
          <w:rFonts w:ascii="Times New Roman" w:eastAsia="Times New Roman" w:hAnsi="Times New Roman" w:cs="Times New Roman"/>
          <w:sz w:val="28"/>
          <w:szCs w:val="28"/>
          <w:lang w:eastAsia="ru-RU"/>
        </w:rPr>
        <w:t xml:space="preserve"> соглашениям хозяйствующих субъектов не вызывает сомнений и требует своего дальнейшего исследования. </w:t>
      </w:r>
    </w:p>
    <w:p w:rsidR="002C585B" w:rsidRPr="002C585B" w:rsidRDefault="002C585B" w:rsidP="002C585B">
      <w:pPr>
        <w:spacing w:after="0" w:line="360" w:lineRule="auto"/>
        <w:ind w:firstLine="709"/>
        <w:jc w:val="both"/>
        <w:rPr>
          <w:rFonts w:ascii="Times New Roman" w:eastAsia="Times New Roman" w:hAnsi="Times New Roman" w:cs="Times New Roman"/>
          <w:color w:val="000000"/>
          <w:sz w:val="28"/>
          <w:szCs w:val="28"/>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2C585B">
      <w:pPr>
        <w:spacing w:before="100" w:beforeAutospacing="1" w:after="0" w:afterAutospacing="1" w:line="360" w:lineRule="auto"/>
        <w:ind w:firstLine="709"/>
        <w:jc w:val="both"/>
        <w:rPr>
          <w:rFonts w:ascii="Arial CYR" w:eastAsia="Times New Roman" w:hAnsi="Arial CYR" w:cs="Times New Roman"/>
          <w:color w:val="000000"/>
          <w:sz w:val="20"/>
          <w:szCs w:val="20"/>
          <w:lang w:eastAsia="ru-RU"/>
        </w:rPr>
      </w:pPr>
    </w:p>
    <w:p w:rsidR="002C585B" w:rsidRPr="002C585B" w:rsidRDefault="002C585B" w:rsidP="000A3EA1">
      <w:pPr>
        <w:spacing w:after="0" w:line="240" w:lineRule="auto"/>
        <w:ind w:firstLine="709"/>
        <w:jc w:val="both"/>
        <w:rPr>
          <w:rFonts w:ascii="Arial CYR" w:eastAsia="Times New Roman" w:hAnsi="Arial CYR" w:cs="Times New Roman"/>
          <w:color w:val="000000"/>
          <w:sz w:val="20"/>
          <w:szCs w:val="20"/>
          <w:lang w:eastAsia="ru-RU"/>
        </w:rPr>
      </w:pPr>
    </w:p>
    <w:p w:rsidR="000A3EA1" w:rsidRDefault="002C585B" w:rsidP="000A3EA1">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val="en-US" w:eastAsia="ru-RU"/>
        </w:rPr>
        <w:t>II</w:t>
      </w:r>
      <w:r w:rsidRPr="002C585B">
        <w:rPr>
          <w:rFonts w:ascii="Times New Roman" w:eastAsia="Times New Roman" w:hAnsi="Times New Roman" w:cs="Times New Roman"/>
          <w:color w:val="000000"/>
          <w:sz w:val="28"/>
          <w:szCs w:val="28"/>
          <w:lang w:eastAsia="ru-RU"/>
        </w:rPr>
        <w:t xml:space="preserve"> </w:t>
      </w:r>
      <w:r w:rsidR="000A3EA1">
        <w:rPr>
          <w:rFonts w:ascii="Times New Roman" w:eastAsia="Times New Roman" w:hAnsi="Times New Roman" w:cs="Times New Roman"/>
          <w:color w:val="000000"/>
          <w:sz w:val="28"/>
          <w:szCs w:val="28"/>
          <w:lang w:eastAsia="ru-RU"/>
        </w:rPr>
        <w:t>БИБЛИОГРАФИЧЕСКИЙ СПИСОК</w:t>
      </w:r>
    </w:p>
    <w:p w:rsidR="000A3EA1" w:rsidRDefault="000A3EA1" w:rsidP="000A3EA1">
      <w:pPr>
        <w:keepNext/>
        <w:tabs>
          <w:tab w:val="left" w:pos="709"/>
        </w:tabs>
        <w:spacing w:after="0" w:line="240" w:lineRule="auto"/>
        <w:jc w:val="center"/>
        <w:outlineLvl w:val="0"/>
        <w:rPr>
          <w:rFonts w:ascii="Times New Roman" w:eastAsia="Times New Roman" w:hAnsi="Times New Roman" w:cs="Times New Roman"/>
          <w:bCs/>
          <w:caps/>
          <w:kern w:val="32"/>
          <w:sz w:val="28"/>
          <w:szCs w:val="28"/>
        </w:rPr>
      </w:pPr>
    </w:p>
    <w:p w:rsidR="000A3EA1" w:rsidRDefault="000A3EA1" w:rsidP="000A3EA1">
      <w:pPr>
        <w:tabs>
          <w:tab w:val="left" w:pos="0"/>
        </w:tabs>
        <w:spacing w:after="0" w:line="240" w:lineRule="auto"/>
        <w:jc w:val="both"/>
        <w:rPr>
          <w:rFonts w:ascii="Times New Roman" w:eastAsia="Calibri" w:hAnsi="Times New Roman" w:cs="Times New Roman"/>
          <w:caps/>
          <w:sz w:val="28"/>
          <w:szCs w:val="28"/>
          <w:lang w:eastAsia="ru-RU"/>
        </w:rPr>
      </w:pPr>
      <w:r>
        <w:rPr>
          <w:rFonts w:ascii="Times New Roman" w:eastAsia="Calibri" w:hAnsi="Times New Roman" w:cs="Times New Roman"/>
          <w:caps/>
          <w:sz w:val="28"/>
          <w:szCs w:val="28"/>
          <w:lang w:eastAsia="ru-RU"/>
        </w:rPr>
        <w:t xml:space="preserve">Раздел </w:t>
      </w:r>
      <w:r>
        <w:rPr>
          <w:rFonts w:ascii="Times New Roman" w:eastAsia="Calibri" w:hAnsi="Times New Roman" w:cs="Times New Roman"/>
          <w:caps/>
          <w:sz w:val="28"/>
          <w:szCs w:val="28"/>
          <w:lang w:val="en-US" w:eastAsia="ru-RU"/>
        </w:rPr>
        <w:t>I</w:t>
      </w:r>
      <w:r>
        <w:rPr>
          <w:rFonts w:ascii="Times New Roman" w:eastAsia="Calibri" w:hAnsi="Times New Roman" w:cs="Times New Roman"/>
          <w:caps/>
          <w:sz w:val="28"/>
          <w:szCs w:val="28"/>
          <w:lang w:eastAsia="ru-RU"/>
        </w:rPr>
        <w:t xml:space="preserve"> </w:t>
      </w:r>
      <w:r>
        <w:rPr>
          <w:rFonts w:ascii="Times New Roman" w:eastAsia="Calibri" w:hAnsi="Times New Roman" w:cs="Times New Roman"/>
          <w:caps/>
          <w:sz w:val="28"/>
          <w:szCs w:val="28"/>
          <w:lang w:eastAsia="ru-RU"/>
        </w:rPr>
        <w:tab/>
        <w:t>Нормативные правовые акты И ИНЫЕ ОФИЦИАЛЬНЫЕ АКТЫ</w:t>
      </w:r>
    </w:p>
    <w:p w:rsidR="000A3EA1" w:rsidRDefault="000A3EA1" w:rsidP="000A3EA1">
      <w:pPr>
        <w:tabs>
          <w:tab w:val="left" w:pos="0"/>
        </w:tabs>
        <w:spacing w:after="0" w:line="240" w:lineRule="auto"/>
        <w:jc w:val="both"/>
        <w:rPr>
          <w:rFonts w:ascii="Times New Roman" w:eastAsia="Calibri" w:hAnsi="Times New Roman" w:cs="Times New Roman"/>
          <w:caps/>
          <w:sz w:val="28"/>
          <w:szCs w:val="28"/>
          <w:lang w:eastAsia="ru-RU"/>
        </w:rPr>
      </w:pP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 всенародным голосованием 12 декабря 1993 г. // Российская газета. 25.12.1993. № 237.    </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 Кодекс Российской Федерации об административных правонарушениях от 30 декабря 2001 г. № 195-ФЗ // СЗ РФ. 2002. № 1 (ч. 1). Ст. 1.</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 защите конкуренции» от 26 июля 2006 г. № 135-ФЗ // Российская газета. 27.07.2006. № 4128.</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 внесении изменений в Кодекс Российской Федерации об административных правонарушениях» от 5 мая 2014          № 122-ФЗ // Российская газета. 01. 06. 2014. № 6510.</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Указ Президента РФ «Об основных направлениях государственной политики по развитию конкуренции» от 21 декабря 2017 г. № 618 // СЗ РФ. 2017. № 11. Ст. 1301.</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РФ «О случаях допустимости соглашений между хозяйствующими субъектами» от 16 июля 2009 г. № 583 // Российская газета 01.09.2009. № 4958. </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«Об утверждении Положения о Федеральной антимонопольной службе» от 30 июня 2004 г. № 331 // Российская газета. 31.07.2004. № 3539.</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 xml:space="preserve">Письмо ФАС России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рассмотрении обращения» от 18 апреля     2018 г. № АК/27307/18 // Текст письма официально опубликован не был. </w:t>
      </w: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 правовая система «Консультант-плюс».</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Разъяснение Президиума Федеральной антимонопольной службы «По определению размера убытков, причиненных в результате нарушения антимонопольного законодательства» от 11 октября 2017 г. № 11. Текст разъяснения официально опубликован не был. [Электронный ресурс] URL: https://fas.gov.ru/docume№ts/587995 (дата обращения 19. 05. 2018).</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Стратегия развития конкуренции и антимонопольного регулирования в Российской Федерации на период 2013 – 2024 гг. (утв. Президиумом ФАС России 03.07.2013). Текст официально опубликован не был. Справочно-правовая система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0A3EA1" w:rsidRDefault="000A3EA1" w:rsidP="000A3EA1">
      <w:pPr>
        <w:numPr>
          <w:ilvl w:val="0"/>
          <w:numId w:val="4"/>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Доклад ФАС РФ «О состоянии конкуренции в Российской Федерации за 2016 год» от 4 декабря 2017 г. Текст доклада официально опубликован не был. [Электронный ресурс] URL: https://fas.gov.ru/docume№ts/596439 (дата обращения 07. 03. 2018 г.).</w:t>
      </w:r>
    </w:p>
    <w:p w:rsidR="000A3EA1" w:rsidRDefault="000A3EA1" w:rsidP="000A3EA1">
      <w:pPr>
        <w:tabs>
          <w:tab w:val="left" w:pos="0"/>
        </w:tabs>
        <w:spacing w:after="0" w:line="240" w:lineRule="auto"/>
        <w:ind w:left="709" w:hanging="709"/>
        <w:jc w:val="both"/>
        <w:rPr>
          <w:rFonts w:ascii="Times New Roman" w:eastAsia="Calibri" w:hAnsi="Times New Roman" w:cs="Times New Roman"/>
          <w:caps/>
          <w:sz w:val="28"/>
          <w:szCs w:val="28"/>
          <w:lang w:eastAsia="ru-RU"/>
        </w:rPr>
      </w:pPr>
    </w:p>
    <w:p w:rsidR="000A3EA1" w:rsidRDefault="000A3EA1" w:rsidP="000A3EA1">
      <w:pPr>
        <w:tabs>
          <w:tab w:val="left" w:pos="0"/>
        </w:tabs>
        <w:spacing w:after="0" w:line="240" w:lineRule="auto"/>
        <w:ind w:left="709" w:hanging="709"/>
        <w:jc w:val="both"/>
        <w:rPr>
          <w:rFonts w:ascii="Times New Roman" w:eastAsia="Calibri" w:hAnsi="Times New Roman" w:cs="Times New Roman"/>
          <w:caps/>
          <w:sz w:val="28"/>
          <w:szCs w:val="28"/>
          <w:lang w:eastAsia="ru-RU"/>
        </w:rPr>
      </w:pPr>
      <w:r>
        <w:rPr>
          <w:rFonts w:ascii="Times New Roman" w:eastAsia="Calibri" w:hAnsi="Times New Roman" w:cs="Times New Roman"/>
          <w:caps/>
          <w:sz w:val="28"/>
          <w:szCs w:val="28"/>
          <w:lang w:eastAsia="ru-RU"/>
        </w:rPr>
        <w:lastRenderedPageBreak/>
        <w:t xml:space="preserve">Раздел </w:t>
      </w:r>
      <w:r>
        <w:rPr>
          <w:rFonts w:ascii="Times New Roman" w:eastAsia="Calibri" w:hAnsi="Times New Roman" w:cs="Times New Roman"/>
          <w:caps/>
          <w:sz w:val="28"/>
          <w:szCs w:val="28"/>
          <w:lang w:val="en-US" w:eastAsia="ru-RU"/>
        </w:rPr>
        <w:t>II</w:t>
      </w:r>
      <w:r>
        <w:rPr>
          <w:rFonts w:ascii="Times New Roman" w:eastAsia="Calibri" w:hAnsi="Times New Roman" w:cs="Times New Roman"/>
          <w:caps/>
          <w:sz w:val="28"/>
          <w:szCs w:val="28"/>
          <w:lang w:eastAsia="ru-RU"/>
        </w:rPr>
        <w:t xml:space="preserve"> </w:t>
      </w:r>
      <w:r>
        <w:rPr>
          <w:rFonts w:ascii="Times New Roman" w:eastAsia="Calibri" w:hAnsi="Times New Roman" w:cs="Times New Roman"/>
          <w:caps/>
          <w:sz w:val="28"/>
          <w:szCs w:val="28"/>
          <w:lang w:eastAsia="ru-RU"/>
        </w:rPr>
        <w:tab/>
      </w:r>
      <w:r>
        <w:rPr>
          <w:rFonts w:ascii="Times New Roman" w:eastAsia="Calibri" w:hAnsi="Times New Roman" w:cs="Times New Roman"/>
          <w:caps/>
          <w:sz w:val="28"/>
          <w:szCs w:val="28"/>
          <w:lang w:eastAsia="ru-RU"/>
        </w:rPr>
        <w:tab/>
        <w:t>постановления высших судебных инстанций и материалы юридической практики</w:t>
      </w:r>
    </w:p>
    <w:p w:rsidR="000A3EA1" w:rsidRDefault="000A3EA1" w:rsidP="000A3EA1">
      <w:pPr>
        <w:tabs>
          <w:tab w:val="left" w:pos="0"/>
        </w:tabs>
        <w:spacing w:after="0" w:line="240" w:lineRule="auto"/>
        <w:ind w:left="709" w:hanging="709"/>
        <w:jc w:val="both"/>
        <w:rPr>
          <w:rFonts w:ascii="Times New Roman" w:eastAsia="Calibri" w:hAnsi="Times New Roman" w:cs="Times New Roman"/>
          <w:caps/>
          <w:sz w:val="28"/>
          <w:szCs w:val="28"/>
          <w:lang w:eastAsia="ru-RU"/>
        </w:rPr>
      </w:pPr>
    </w:p>
    <w:p w:rsidR="000A3EA1" w:rsidRDefault="000A3EA1" w:rsidP="000A3EA1">
      <w:pPr>
        <w:numPr>
          <w:ilvl w:val="0"/>
          <w:numId w:val="5"/>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Верховного Суда РФ от 16 ноября 2015 года № 305-АД15-12805 по делу № А40-188369/2014 // Бюллетень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 2015.  № 9. </w:t>
      </w:r>
    </w:p>
    <w:p w:rsidR="000A3EA1" w:rsidRDefault="000A3EA1" w:rsidP="000A3EA1">
      <w:pPr>
        <w:numPr>
          <w:ilvl w:val="0"/>
          <w:numId w:val="5"/>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Президиума ВАС РФ от 21 декабря 2010 г. № 9966/10 по делу № А27—12323/2009 // Вестник ВАС РФ. 2011. № 23.</w:t>
      </w:r>
    </w:p>
    <w:p w:rsidR="000A3EA1" w:rsidRDefault="000A3EA1" w:rsidP="000A3EA1">
      <w:pPr>
        <w:numPr>
          <w:ilvl w:val="0"/>
          <w:numId w:val="5"/>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Президиума ВАС РФ от 26 марта 2013 г. № 14093/12 // Вестник ВАС РФ. 2013. № 9.</w:t>
      </w:r>
    </w:p>
    <w:p w:rsidR="000A3EA1" w:rsidRDefault="000A3EA1" w:rsidP="000A3EA1">
      <w:pPr>
        <w:numPr>
          <w:ilvl w:val="0"/>
          <w:numId w:val="5"/>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Решение Челябинского УФАС РФ по делу № 1-03/17 в отношении ПАО «</w:t>
      </w:r>
      <w:proofErr w:type="spellStart"/>
      <w:r>
        <w:rPr>
          <w:rFonts w:ascii="Times New Roman" w:hAnsi="Times New Roman" w:cs="Times New Roman"/>
          <w:sz w:val="28"/>
          <w:szCs w:val="28"/>
        </w:rPr>
        <w:t>Фортумс</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w:t>
      </w:r>
      <w:proofErr w:type="spellStart"/>
      <w:r>
        <w:rPr>
          <w:rFonts w:ascii="Times New Roman" w:hAnsi="Times New Roman" w:cs="Times New Roman"/>
          <w:sz w:val="28"/>
          <w:szCs w:val="28"/>
        </w:rPr>
        <w:t>Промтехэкспертиза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[Электронный</w:t>
      </w:r>
      <w:r>
        <w:rPr>
          <w:rFonts w:ascii="Times New Roman" w:hAnsi="Times New Roman" w:cs="Times New Roman"/>
          <w:bCs/>
          <w:sz w:val="28"/>
          <w:szCs w:val="28"/>
          <w:lang w:val="en-US"/>
        </w:rPr>
        <w:t> </w:t>
      </w:r>
      <w:r>
        <w:rPr>
          <w:rFonts w:ascii="Times New Roman" w:hAnsi="Times New Roman" w:cs="Times New Roman"/>
          <w:bCs/>
          <w:sz w:val="28"/>
          <w:szCs w:val="28"/>
        </w:rPr>
        <w:t>ресурс]</w:t>
      </w:r>
      <w:r>
        <w:rPr>
          <w:rFonts w:ascii="Times New Roman" w:hAnsi="Times New Roman" w:cs="Times New Roman"/>
          <w:bCs/>
          <w:sz w:val="28"/>
          <w:szCs w:val="28"/>
          <w:lang w:val="en-US"/>
        </w:rPr>
        <w:t> URL</w:t>
      </w:r>
      <w:r>
        <w:rPr>
          <w:rFonts w:ascii="Times New Roman" w:hAnsi="Times New Roman" w:cs="Times New Roman"/>
          <w:bCs/>
          <w:sz w:val="28"/>
          <w:szCs w:val="28"/>
        </w:rPr>
        <w:t>:</w:t>
      </w:r>
      <w:proofErr w:type="gramStart"/>
      <w:r>
        <w:rPr>
          <w:rFonts w:ascii="Times New Roman" w:hAnsi="Times New Roman" w:cs="Times New Roman"/>
          <w:bCs/>
          <w:sz w:val="28"/>
          <w:szCs w:val="28"/>
        </w:rPr>
        <w:t> :</w:t>
      </w:r>
      <w:proofErr w:type="gramEnd"/>
      <w:r>
        <w:rPr>
          <w:rFonts w:ascii="Times New Roman" w:hAnsi="Times New Roman" w:cs="Times New Roman"/>
          <w:bCs/>
          <w:sz w:val="28"/>
          <w:szCs w:val="28"/>
        </w:rPr>
        <w:t>// </w:t>
      </w:r>
      <w:r>
        <w:rPr>
          <w:rFonts w:ascii="Times New Roman" w:hAnsi="Times New Roman" w:cs="Times New Roman"/>
          <w:bCs/>
          <w:sz w:val="28"/>
          <w:szCs w:val="28"/>
          <w:lang w:val="en-US"/>
        </w:rPr>
        <w:t>solution</w:t>
      </w:r>
      <w:r>
        <w:rPr>
          <w:rFonts w:ascii="Times New Roman" w:hAnsi="Times New Roman" w:cs="Times New Roman"/>
          <w:bCs/>
          <w:sz w:val="28"/>
          <w:szCs w:val="28"/>
        </w:rPr>
        <w:t>.</w:t>
      </w:r>
      <w:proofErr w:type="spellStart"/>
      <w:r>
        <w:rPr>
          <w:rFonts w:ascii="Times New Roman" w:hAnsi="Times New Roman" w:cs="Times New Roman"/>
          <w:bCs/>
          <w:sz w:val="28"/>
          <w:szCs w:val="28"/>
          <w:lang w:val="en-US"/>
        </w:rPr>
        <w:t>fas</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lang w:val="en-US"/>
        </w:rPr>
        <w:t>gov</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w:t>
      </w:r>
      <w:r>
        <w:rPr>
          <w:rFonts w:ascii="Times New Roman" w:hAnsi="Times New Roman" w:cs="Times New Roman"/>
          <w:bCs/>
          <w:sz w:val="28"/>
          <w:szCs w:val="28"/>
          <w:lang w:val="en-US"/>
        </w:rPr>
        <w:t>to</w:t>
      </w:r>
      <w:r>
        <w:rPr>
          <w:rFonts w:ascii="Times New Roman" w:hAnsi="Times New Roman" w:cs="Times New Roman"/>
          <w:bCs/>
          <w:sz w:val="28"/>
          <w:szCs w:val="28"/>
        </w:rPr>
        <w:t>/</w:t>
      </w:r>
      <w:proofErr w:type="spellStart"/>
      <w:r>
        <w:rPr>
          <w:rFonts w:ascii="Times New Roman" w:hAnsi="Times New Roman" w:cs="Times New Roman"/>
          <w:bCs/>
          <w:sz w:val="28"/>
          <w:szCs w:val="28"/>
          <w:lang w:val="en-US"/>
        </w:rPr>
        <w:t>chelyabinskoe</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lang w:val="en-US"/>
        </w:rPr>
        <w:t>ufas</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lang w:val="en-US"/>
        </w:rPr>
        <w:t>rossii</w:t>
      </w:r>
      <w:proofErr w:type="spellEnd"/>
      <w:r>
        <w:rPr>
          <w:rFonts w:ascii="Times New Roman" w:hAnsi="Times New Roman" w:cs="Times New Roman"/>
          <w:bCs/>
          <w:sz w:val="28"/>
          <w:szCs w:val="28"/>
        </w:rPr>
        <w:t>/ 1-03171943 (дата обращения 21.05.18).</w:t>
      </w:r>
    </w:p>
    <w:p w:rsidR="000A3EA1" w:rsidRDefault="000A3EA1" w:rsidP="000A3EA1">
      <w:pPr>
        <w:tabs>
          <w:tab w:val="left" w:pos="0"/>
        </w:tabs>
        <w:spacing w:after="0" w:line="240" w:lineRule="auto"/>
        <w:ind w:left="709" w:hanging="709"/>
        <w:jc w:val="both"/>
        <w:rPr>
          <w:rFonts w:ascii="Times New Roman" w:eastAsia="Calibri" w:hAnsi="Times New Roman" w:cs="Times New Roman"/>
          <w:caps/>
          <w:sz w:val="28"/>
          <w:szCs w:val="28"/>
          <w:lang w:eastAsia="ru-RU"/>
        </w:rPr>
      </w:pPr>
    </w:p>
    <w:p w:rsidR="000A3EA1" w:rsidRDefault="000A3EA1" w:rsidP="000A3EA1">
      <w:pPr>
        <w:tabs>
          <w:tab w:val="left" w:pos="0"/>
        </w:tabs>
        <w:spacing w:after="0" w:line="240" w:lineRule="auto"/>
        <w:ind w:left="709" w:hanging="709"/>
        <w:jc w:val="both"/>
        <w:rPr>
          <w:rFonts w:ascii="Times New Roman" w:eastAsia="Calibri" w:hAnsi="Times New Roman" w:cs="Times New Roman"/>
          <w:caps/>
          <w:sz w:val="28"/>
          <w:szCs w:val="28"/>
          <w:lang w:eastAsia="ru-RU"/>
        </w:rPr>
      </w:pPr>
      <w:r>
        <w:rPr>
          <w:rFonts w:ascii="Times New Roman" w:eastAsia="Calibri" w:hAnsi="Times New Roman" w:cs="Times New Roman"/>
          <w:caps/>
          <w:sz w:val="28"/>
          <w:szCs w:val="28"/>
          <w:lang w:eastAsia="ru-RU"/>
        </w:rPr>
        <w:t xml:space="preserve">Раздел </w:t>
      </w:r>
      <w:r>
        <w:rPr>
          <w:rFonts w:ascii="Times New Roman" w:eastAsia="Calibri" w:hAnsi="Times New Roman" w:cs="Times New Roman"/>
          <w:caps/>
          <w:sz w:val="28"/>
          <w:szCs w:val="28"/>
          <w:lang w:val="en-US" w:eastAsia="ru-RU"/>
        </w:rPr>
        <w:t>III</w:t>
      </w:r>
      <w:r>
        <w:rPr>
          <w:rFonts w:ascii="Times New Roman" w:eastAsia="Calibri" w:hAnsi="Times New Roman" w:cs="Times New Roman"/>
          <w:caps/>
          <w:sz w:val="28"/>
          <w:szCs w:val="28"/>
          <w:lang w:eastAsia="ru-RU"/>
        </w:rPr>
        <w:t xml:space="preserve"> </w:t>
      </w:r>
      <w:r>
        <w:rPr>
          <w:rFonts w:ascii="Times New Roman" w:eastAsia="Calibri" w:hAnsi="Times New Roman" w:cs="Times New Roman"/>
          <w:caps/>
          <w:sz w:val="28"/>
          <w:szCs w:val="28"/>
          <w:lang w:eastAsia="ru-RU"/>
        </w:rPr>
        <w:tab/>
        <w:t>ИСПОЛЬЗОВАНная литература</w:t>
      </w:r>
    </w:p>
    <w:p w:rsidR="000A3EA1" w:rsidRDefault="000A3EA1" w:rsidP="000A3EA1">
      <w:pPr>
        <w:tabs>
          <w:tab w:val="left" w:pos="0"/>
        </w:tabs>
        <w:spacing w:after="0" w:line="240" w:lineRule="auto"/>
        <w:ind w:left="709" w:hanging="709"/>
        <w:jc w:val="both"/>
        <w:rPr>
          <w:rFonts w:ascii="Times New Roman" w:eastAsia="Calibri" w:hAnsi="Times New Roman" w:cs="Times New Roman"/>
          <w:caps/>
          <w:sz w:val="28"/>
          <w:szCs w:val="28"/>
          <w:lang w:eastAsia="ru-RU"/>
        </w:rPr>
      </w:pP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 xml:space="preserve">Алешин, Д. А., Артемьев, И. Ю., </w:t>
      </w:r>
      <w:proofErr w:type="spellStart"/>
      <w:r>
        <w:rPr>
          <w:rFonts w:ascii="Times New Roman" w:hAnsi="Times New Roman" w:cs="Times New Roman"/>
          <w:sz w:val="28"/>
          <w:szCs w:val="28"/>
        </w:rPr>
        <w:t>Борзило</w:t>
      </w:r>
      <w:proofErr w:type="spellEnd"/>
      <w:r>
        <w:rPr>
          <w:rFonts w:ascii="Times New Roman" w:hAnsi="Times New Roman" w:cs="Times New Roman"/>
          <w:sz w:val="28"/>
          <w:szCs w:val="28"/>
        </w:rPr>
        <w:t xml:space="preserve">, </w:t>
      </w:r>
      <w:r w:rsidR="00312C58">
        <w:rPr>
          <w:rFonts w:ascii="Times New Roman" w:hAnsi="Times New Roman" w:cs="Times New Roman"/>
          <w:sz w:val="28"/>
          <w:szCs w:val="28"/>
        </w:rPr>
        <w:t>Е. Ю. Конкурентное право России</w:t>
      </w:r>
      <w:r w:rsidR="00312C58" w:rsidRPr="00312C58">
        <w:rPr>
          <w:rFonts w:ascii="Times New Roman" w:hAnsi="Times New Roman" w:cs="Times New Roman"/>
          <w:sz w:val="28"/>
          <w:szCs w:val="28"/>
        </w:rPr>
        <w:t xml:space="preserve"> </w:t>
      </w:r>
      <w:r>
        <w:rPr>
          <w:rFonts w:ascii="Times New Roman" w:hAnsi="Times New Roman" w:cs="Times New Roman"/>
          <w:sz w:val="28"/>
          <w:szCs w:val="28"/>
        </w:rPr>
        <w:t xml:space="preserve"> /</w:t>
      </w:r>
      <w:r w:rsidR="00312C58" w:rsidRPr="00312C58">
        <w:rPr>
          <w:rFonts w:ascii="Times New Roman" w:hAnsi="Times New Roman" w:cs="Times New Roman"/>
          <w:sz w:val="28"/>
          <w:szCs w:val="28"/>
        </w:rPr>
        <w:t xml:space="preserve"> </w:t>
      </w:r>
      <w:r>
        <w:rPr>
          <w:rFonts w:ascii="Times New Roman" w:hAnsi="Times New Roman" w:cs="Times New Roman"/>
          <w:sz w:val="28"/>
          <w:szCs w:val="28"/>
        </w:rPr>
        <w:t xml:space="preserve">Д. А. Алешин, И. Ю. Артемьев, Е. Ю. </w:t>
      </w:r>
      <w:proofErr w:type="spellStart"/>
      <w:r>
        <w:rPr>
          <w:rFonts w:ascii="Times New Roman" w:hAnsi="Times New Roman" w:cs="Times New Roman"/>
          <w:sz w:val="28"/>
          <w:szCs w:val="28"/>
        </w:rPr>
        <w:t>Борзило</w:t>
      </w:r>
      <w:proofErr w:type="spellEnd"/>
      <w:r>
        <w:rPr>
          <w:rFonts w:ascii="Times New Roman" w:hAnsi="Times New Roman" w:cs="Times New Roman"/>
          <w:sz w:val="28"/>
          <w:szCs w:val="28"/>
        </w:rPr>
        <w:t xml:space="preserve">. М.: Изд. дом Высшей школы экономики, 2012. 457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Бабин, Г.И. Обзор последних тенденций в практике зарубежных конкурентных органов по пресечению картелей: эффективные санкции и программы снижения ответственности / Г. И. Бабин // Вестник МАП России. 2017. № 3. С. 149 – 160.</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Борзова</w:t>
      </w:r>
      <w:proofErr w:type="spellEnd"/>
      <w:r>
        <w:rPr>
          <w:rFonts w:ascii="Times New Roman" w:hAnsi="Times New Roman" w:cs="Times New Roman"/>
          <w:sz w:val="28"/>
          <w:szCs w:val="28"/>
        </w:rPr>
        <w:t xml:space="preserve">, М.А., </w:t>
      </w:r>
      <w:proofErr w:type="spellStart"/>
      <w:r>
        <w:rPr>
          <w:rFonts w:ascii="Times New Roman" w:hAnsi="Times New Roman" w:cs="Times New Roman"/>
          <w:sz w:val="28"/>
          <w:szCs w:val="28"/>
        </w:rPr>
        <w:t>Подгузова</w:t>
      </w:r>
      <w:proofErr w:type="spellEnd"/>
      <w:r>
        <w:rPr>
          <w:rFonts w:ascii="Times New Roman" w:hAnsi="Times New Roman" w:cs="Times New Roman"/>
          <w:sz w:val="28"/>
          <w:szCs w:val="28"/>
        </w:rPr>
        <w:t xml:space="preserve"> К.Г. Частные иски в антимонопольном праве / М. А. </w:t>
      </w:r>
      <w:proofErr w:type="spellStart"/>
      <w:r>
        <w:rPr>
          <w:rFonts w:ascii="Times New Roman" w:hAnsi="Times New Roman" w:cs="Times New Roman"/>
          <w:sz w:val="28"/>
          <w:szCs w:val="28"/>
        </w:rPr>
        <w:t>Борзова</w:t>
      </w:r>
      <w:proofErr w:type="spellEnd"/>
      <w:r>
        <w:rPr>
          <w:rFonts w:ascii="Times New Roman" w:hAnsi="Times New Roman" w:cs="Times New Roman"/>
          <w:sz w:val="28"/>
          <w:szCs w:val="28"/>
        </w:rPr>
        <w:t xml:space="preserve">, К. Г. </w:t>
      </w:r>
      <w:proofErr w:type="spellStart"/>
      <w:r>
        <w:rPr>
          <w:rFonts w:ascii="Times New Roman" w:hAnsi="Times New Roman" w:cs="Times New Roman"/>
          <w:sz w:val="28"/>
          <w:szCs w:val="28"/>
        </w:rPr>
        <w:t>Подгузова</w:t>
      </w:r>
      <w:proofErr w:type="spellEnd"/>
      <w:r>
        <w:rPr>
          <w:rFonts w:ascii="Times New Roman" w:hAnsi="Times New Roman" w:cs="Times New Roman"/>
          <w:sz w:val="28"/>
          <w:szCs w:val="28"/>
        </w:rPr>
        <w:t xml:space="preserve"> // Закон. 2017.  № 7. С. 61 – 73.</w:t>
      </w:r>
    </w:p>
    <w:p w:rsidR="000A3EA1" w:rsidRDefault="000A3EA1" w:rsidP="000A3EA1">
      <w:pPr>
        <w:keepLines/>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Защита конкуренции.  [Электронный ресурс] URL: https://rusjurist.ru/zawita_ko</w:t>
      </w:r>
      <w:r>
        <w:rPr>
          <w:rFonts w:ascii="Times New Roman" w:hAnsi="Times New Roman" w:cs="Times New Roman"/>
          <w:sz w:val="28"/>
          <w:szCs w:val="28"/>
          <w:lang w:val="en-US"/>
        </w:rPr>
        <w:t>n</w:t>
      </w:r>
      <w:proofErr w:type="spellStart"/>
      <w:r>
        <w:rPr>
          <w:rFonts w:ascii="Times New Roman" w:hAnsi="Times New Roman" w:cs="Times New Roman"/>
          <w:sz w:val="28"/>
          <w:szCs w:val="28"/>
        </w:rPr>
        <w:t>kure</w:t>
      </w:r>
      <w:proofErr w:type="spellEnd"/>
      <w:r>
        <w:rPr>
          <w:rFonts w:ascii="Times New Roman" w:hAnsi="Times New Roman" w:cs="Times New Roman"/>
          <w:sz w:val="28"/>
          <w:szCs w:val="28"/>
          <w:lang w:val="en-US"/>
        </w:rPr>
        <w:t>n</w:t>
      </w:r>
      <w:proofErr w:type="spellStart"/>
      <w:r>
        <w:rPr>
          <w:rFonts w:ascii="Times New Roman" w:hAnsi="Times New Roman" w:cs="Times New Roman"/>
          <w:sz w:val="28"/>
          <w:szCs w:val="28"/>
        </w:rPr>
        <w:t>cii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a</w:t>
      </w:r>
      <w:proofErr w:type="spellEnd"/>
      <w:r>
        <w:rPr>
          <w:rFonts w:ascii="Times New Roman" w:hAnsi="Times New Roman" w:cs="Times New Roman"/>
          <w:sz w:val="28"/>
          <w:szCs w:val="28"/>
          <w:lang w:val="en-US"/>
        </w:rPr>
        <w:t>n</w:t>
      </w:r>
      <w:proofErr w:type="spellStart"/>
      <w:r>
        <w:rPr>
          <w:rFonts w:ascii="Times New Roman" w:hAnsi="Times New Roman" w:cs="Times New Roman"/>
          <w:sz w:val="28"/>
          <w:szCs w:val="28"/>
        </w:rPr>
        <w:t>timo</w:t>
      </w:r>
      <w:proofErr w:type="spellEnd"/>
      <w:r>
        <w:rPr>
          <w:rFonts w:ascii="Times New Roman" w:hAnsi="Times New Roman" w:cs="Times New Roman"/>
          <w:sz w:val="28"/>
          <w:szCs w:val="28"/>
          <w:lang w:val="en-US"/>
        </w:rPr>
        <w:t>n</w:t>
      </w:r>
      <w:proofErr w:type="spellStart"/>
      <w:r>
        <w:rPr>
          <w:rFonts w:ascii="Times New Roman" w:hAnsi="Times New Roman" w:cs="Times New Roman"/>
          <w:sz w:val="28"/>
          <w:szCs w:val="28"/>
        </w:rPr>
        <w:t>opol</w:t>
      </w:r>
      <w:proofErr w:type="spellEnd"/>
      <w:r>
        <w:rPr>
          <w:rFonts w:ascii="Times New Roman" w:hAnsi="Times New Roman" w:cs="Times New Roman"/>
          <w:sz w:val="28"/>
          <w:szCs w:val="28"/>
          <w:lang w:val="en-US"/>
        </w:rPr>
        <w:t>n</w:t>
      </w:r>
      <w:proofErr w:type="spellStart"/>
      <w:r>
        <w:rPr>
          <w:rFonts w:ascii="Times New Roman" w:hAnsi="Times New Roman" w:cs="Times New Roman"/>
          <w:sz w:val="28"/>
          <w:szCs w:val="28"/>
        </w:rPr>
        <w:t>oe_regulirova</w:t>
      </w:r>
      <w:proofErr w:type="spellEnd"/>
      <w:r>
        <w:rPr>
          <w:rFonts w:ascii="Times New Roman" w:hAnsi="Times New Roman" w:cs="Times New Roman"/>
          <w:sz w:val="28"/>
          <w:szCs w:val="28"/>
          <w:lang w:val="en-US"/>
        </w:rPr>
        <w:t>n</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(дата обращения: 13. 03.18).</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Кванина В. В. Правовое регулирование конкуренции и монополии: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В. В. Кванина. М.: Изд-во НГТУ, 2015. 144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t>Неуймин, Ю.В. Соглашения и согласованные действия субъектов предпринимательства, запрещенные антимонопольным законодательством / Ю. В. Неуймин // Южно-Уральский юридический вестник. 2000. № 12/13 (5/6). С. 76 – 82.</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Тотьев</w:t>
      </w:r>
      <w:proofErr w:type="spellEnd"/>
      <w:r>
        <w:rPr>
          <w:rFonts w:ascii="Times New Roman" w:hAnsi="Times New Roman" w:cs="Times New Roman"/>
          <w:sz w:val="28"/>
          <w:szCs w:val="28"/>
        </w:rPr>
        <w:t xml:space="preserve">, К.Ю. Понятие «конкуренция» в антимонопольном законодательстве / К. Ю. </w:t>
      </w:r>
      <w:proofErr w:type="spellStart"/>
      <w:r>
        <w:rPr>
          <w:rFonts w:ascii="Times New Roman" w:hAnsi="Times New Roman" w:cs="Times New Roman"/>
          <w:sz w:val="28"/>
          <w:szCs w:val="28"/>
        </w:rPr>
        <w:t>Тотьев</w:t>
      </w:r>
      <w:proofErr w:type="spellEnd"/>
      <w:r>
        <w:rPr>
          <w:rFonts w:ascii="Times New Roman" w:hAnsi="Times New Roman" w:cs="Times New Roman"/>
          <w:sz w:val="28"/>
          <w:szCs w:val="28"/>
        </w:rPr>
        <w:t xml:space="preserve"> // Хозяйство и право. 2011. № 2. С. 60 – 65.</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Шайхеев</w:t>
      </w:r>
      <w:proofErr w:type="spellEnd"/>
      <w:r>
        <w:rPr>
          <w:rFonts w:ascii="Times New Roman" w:hAnsi="Times New Roman" w:cs="Times New Roman"/>
          <w:sz w:val="28"/>
          <w:szCs w:val="28"/>
        </w:rPr>
        <w:t xml:space="preserve">, Т.И. О некоторых вопросах антимонопольного права и законодательства / Т. И. </w:t>
      </w:r>
      <w:proofErr w:type="spellStart"/>
      <w:r>
        <w:rPr>
          <w:rFonts w:ascii="Times New Roman" w:hAnsi="Times New Roman" w:cs="Times New Roman"/>
          <w:sz w:val="28"/>
          <w:szCs w:val="28"/>
        </w:rPr>
        <w:t>Шайхеев</w:t>
      </w:r>
      <w:proofErr w:type="spellEnd"/>
      <w:r>
        <w:rPr>
          <w:rFonts w:ascii="Times New Roman" w:hAnsi="Times New Roman" w:cs="Times New Roman"/>
          <w:sz w:val="28"/>
          <w:szCs w:val="28"/>
        </w:rPr>
        <w:t xml:space="preserve"> // Хозяйство и право. 2017. № 1. С. 95 – 103. </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Шашкова</w:t>
      </w:r>
      <w:proofErr w:type="spellEnd"/>
      <w:r>
        <w:rPr>
          <w:rFonts w:ascii="Times New Roman" w:hAnsi="Times New Roman" w:cs="Times New Roman"/>
          <w:sz w:val="28"/>
          <w:szCs w:val="28"/>
        </w:rPr>
        <w:t xml:space="preserve">, А.В. Предпринимательское право. / А. В. </w:t>
      </w:r>
      <w:proofErr w:type="spellStart"/>
      <w:r>
        <w:rPr>
          <w:rFonts w:ascii="Times New Roman" w:hAnsi="Times New Roman" w:cs="Times New Roman"/>
          <w:sz w:val="28"/>
          <w:szCs w:val="28"/>
        </w:rPr>
        <w:t>Шашкова</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2017. 320 с.</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Юсупова Г.Ф. Проблемы противодействия ограничивающим конкуренцию соглашениям в российской антимонопольной практике / Г. Ф. Юсупова // Молодой ученый. 2017. № 27. С. 61 – 68.</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Goyder</w:t>
      </w:r>
      <w:proofErr w:type="spellEnd"/>
      <w:r>
        <w:rPr>
          <w:rFonts w:ascii="Times New Roman" w:hAnsi="Times New Roman" w:cs="Times New Roman"/>
          <w:sz w:val="28"/>
          <w:szCs w:val="28"/>
          <w:lang w:val="en-US"/>
        </w:rPr>
        <w:t xml:space="preserve"> D.G. EC competition Law. 4th ed. Oxford University Press, UK, 2003. </w:t>
      </w:r>
      <w:r>
        <w:rPr>
          <w:rFonts w:ascii="Times New Roman" w:hAnsi="Times New Roman" w:cs="Times New Roman"/>
          <w:sz w:val="28"/>
          <w:szCs w:val="28"/>
        </w:rPr>
        <w:t>Р</w:t>
      </w:r>
      <w:r>
        <w:rPr>
          <w:rFonts w:ascii="Times New Roman" w:hAnsi="Times New Roman" w:cs="Times New Roman"/>
          <w:sz w:val="28"/>
          <w:szCs w:val="28"/>
          <w:lang w:val="en-US"/>
        </w:rPr>
        <w:t>. 9 – 15.</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Jones A., </w:t>
      </w:r>
      <w:proofErr w:type="spellStart"/>
      <w:r>
        <w:rPr>
          <w:rFonts w:ascii="Times New Roman" w:hAnsi="Times New Roman" w:cs="Times New Roman"/>
          <w:sz w:val="28"/>
          <w:szCs w:val="28"/>
          <w:lang w:val="en-US"/>
        </w:rPr>
        <w:t>Sufrin</w:t>
      </w:r>
      <w:proofErr w:type="spellEnd"/>
      <w:r>
        <w:rPr>
          <w:rFonts w:ascii="Times New Roman" w:hAnsi="Times New Roman" w:cs="Times New Roman"/>
          <w:sz w:val="28"/>
          <w:szCs w:val="28"/>
          <w:lang w:val="en-US"/>
        </w:rPr>
        <w:t xml:space="preserve"> B. EC Competition Law. 2nd ed. Oxford University Press, 2004. P. 130-137.</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Schumpeter J. Can Capitalism </w:t>
      </w:r>
      <w:proofErr w:type="gramStart"/>
      <w:r>
        <w:rPr>
          <w:rFonts w:ascii="Times New Roman" w:hAnsi="Times New Roman" w:cs="Times New Roman"/>
          <w:sz w:val="28"/>
          <w:szCs w:val="28"/>
          <w:lang w:val="en-US"/>
        </w:rPr>
        <w:t>Survive.</w:t>
      </w:r>
      <w:proofErr w:type="gramEnd"/>
      <w:r>
        <w:rPr>
          <w:rFonts w:ascii="Times New Roman" w:hAnsi="Times New Roman" w:cs="Times New Roman"/>
          <w:sz w:val="28"/>
          <w:szCs w:val="28"/>
          <w:lang w:val="en-US"/>
        </w:rPr>
        <w:t xml:space="preserve"> N.Y.</w:t>
      </w:r>
      <w:proofErr w:type="gramStart"/>
      <w:r>
        <w:rPr>
          <w:rFonts w:ascii="Times New Roman" w:hAnsi="Times New Roman" w:cs="Times New Roman"/>
          <w:sz w:val="28"/>
          <w:szCs w:val="28"/>
          <w:lang w:val="en-US"/>
        </w:rPr>
        <w:t>,1978</w:t>
      </w:r>
      <w:proofErr w:type="gramEnd"/>
      <w:r>
        <w:rPr>
          <w:rFonts w:ascii="Times New Roman" w:hAnsi="Times New Roman" w:cs="Times New Roman"/>
          <w:sz w:val="28"/>
          <w:szCs w:val="28"/>
          <w:lang w:val="en-US"/>
        </w:rPr>
        <w:t>. P. 24 – 31.</w:t>
      </w:r>
    </w:p>
    <w:p w:rsidR="000A3EA1" w:rsidRDefault="000A3EA1" w:rsidP="000A3EA1">
      <w:pPr>
        <w:numPr>
          <w:ilvl w:val="0"/>
          <w:numId w:val="6"/>
        </w:numPr>
        <w:tabs>
          <w:tab w:val="left" w:pos="0"/>
        </w:tabs>
        <w:spacing w:after="0" w:line="240" w:lineRule="auto"/>
        <w:ind w:left="709" w:hanging="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Simon Holmes, Philipp </w:t>
      </w:r>
      <w:proofErr w:type="spellStart"/>
      <w:r>
        <w:rPr>
          <w:rFonts w:ascii="Times New Roman" w:hAnsi="Times New Roman" w:cs="Times New Roman"/>
          <w:sz w:val="28"/>
          <w:szCs w:val="28"/>
          <w:lang w:val="en-US"/>
        </w:rPr>
        <w:t>Girardet</w:t>
      </w:r>
      <w:proofErr w:type="spellEnd"/>
      <w:r>
        <w:rPr>
          <w:rFonts w:ascii="Times New Roman" w:hAnsi="Times New Roman" w:cs="Times New Roman"/>
          <w:sz w:val="28"/>
          <w:szCs w:val="28"/>
          <w:lang w:val="en-US"/>
        </w:rPr>
        <w:t xml:space="preserve"> The International Comparative Legal Guide to: Cartels &amp; Leniency. 2017. 304 </w:t>
      </w:r>
      <w:proofErr w:type="spellStart"/>
      <w:r>
        <w:rPr>
          <w:rFonts w:ascii="Times New Roman" w:hAnsi="Times New Roman" w:cs="Times New Roman"/>
          <w:sz w:val="28"/>
          <w:szCs w:val="28"/>
        </w:rPr>
        <w:t>р</w:t>
      </w:r>
      <w:proofErr w:type="spellEnd"/>
      <w:r>
        <w:rPr>
          <w:rFonts w:ascii="Times New Roman" w:hAnsi="Times New Roman" w:cs="Times New Roman"/>
          <w:sz w:val="28"/>
          <w:szCs w:val="28"/>
          <w:lang w:val="en-US"/>
        </w:rPr>
        <w:t xml:space="preserve">. </w:t>
      </w:r>
    </w:p>
    <w:p w:rsidR="000A3EA1" w:rsidRDefault="000A3EA1" w:rsidP="000A3EA1">
      <w:pPr>
        <w:tabs>
          <w:tab w:val="left" w:pos="0"/>
        </w:tabs>
        <w:spacing w:after="0" w:line="240" w:lineRule="auto"/>
        <w:ind w:left="709" w:hanging="709"/>
        <w:contextualSpacing/>
        <w:jc w:val="both"/>
        <w:rPr>
          <w:rFonts w:ascii="Times New Roman" w:hAnsi="Times New Roman" w:cs="Times New Roman"/>
          <w:sz w:val="28"/>
          <w:szCs w:val="28"/>
          <w:lang w:val="en-US"/>
        </w:rPr>
      </w:pPr>
    </w:p>
    <w:p w:rsidR="000A3EA1" w:rsidRDefault="000A3EA1" w:rsidP="000A3EA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РАЗДЕЛ</w:t>
      </w:r>
      <w:r w:rsidR="00312C58" w:rsidRPr="00312C5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IV</w:t>
      </w:r>
      <w:r w:rsidR="00312C58" w:rsidRPr="00312C5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ДИССЕРТАЦИИ И АВТОРЕФЕРАТЫ ДИССЕРТАЦИЙ</w:t>
      </w:r>
    </w:p>
    <w:p w:rsidR="000A3EA1" w:rsidRDefault="000A3EA1" w:rsidP="000A3EA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СОИСКАНИЕ УЧЕНОЙ СТЕПЕНИ</w:t>
      </w:r>
    </w:p>
    <w:p w:rsidR="000A3EA1" w:rsidRDefault="000A3EA1" w:rsidP="000A3EA1">
      <w:pPr>
        <w:tabs>
          <w:tab w:val="left" w:pos="0"/>
        </w:tabs>
        <w:spacing w:after="0" w:line="240" w:lineRule="auto"/>
        <w:ind w:left="709" w:hanging="709"/>
        <w:contextualSpacing/>
        <w:jc w:val="both"/>
        <w:rPr>
          <w:rFonts w:ascii="Times New Roman" w:hAnsi="Times New Roman" w:cs="Times New Roman"/>
          <w:sz w:val="28"/>
          <w:szCs w:val="28"/>
        </w:rPr>
      </w:pPr>
    </w:p>
    <w:p w:rsidR="000A3EA1" w:rsidRDefault="000A3EA1" w:rsidP="000A3EA1">
      <w:pPr>
        <w:numPr>
          <w:ilvl w:val="0"/>
          <w:numId w:val="7"/>
        </w:numPr>
        <w:shd w:val="clear" w:color="auto" w:fill="FFFFFF"/>
        <w:tabs>
          <w:tab w:val="left" w:pos="0"/>
        </w:tabs>
        <w:spacing w:after="0" w:line="240" w:lineRule="auto"/>
        <w:ind w:left="851" w:hanging="851"/>
        <w:contextualSpacing/>
        <w:jc w:val="both"/>
        <w:rPr>
          <w:rFonts w:ascii="Times New Roman" w:eastAsia="Calibri" w:hAnsi="Times New Roman" w:cs="Times New Roman"/>
          <w:sz w:val="28"/>
          <w:szCs w:val="28"/>
          <w:lang w:eastAsia="ru-RU"/>
        </w:rPr>
      </w:pPr>
      <w:proofErr w:type="spellStart"/>
      <w:r>
        <w:rPr>
          <w:rFonts w:ascii="Times New Roman" w:hAnsi="Times New Roman" w:cs="Times New Roman"/>
          <w:sz w:val="28"/>
          <w:szCs w:val="28"/>
        </w:rPr>
        <w:t>Барышкова</w:t>
      </w:r>
      <w:proofErr w:type="spellEnd"/>
      <w:r>
        <w:rPr>
          <w:rFonts w:ascii="Times New Roman" w:hAnsi="Times New Roman" w:cs="Times New Roman"/>
          <w:sz w:val="28"/>
          <w:szCs w:val="28"/>
        </w:rPr>
        <w:t xml:space="preserve">, К.В. Картельное право Германии конца XIX – первой половины XX веков: Историко-правовое исследование: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 К. В. </w:t>
      </w:r>
      <w:proofErr w:type="spellStart"/>
      <w:r>
        <w:rPr>
          <w:rFonts w:ascii="Times New Roman" w:hAnsi="Times New Roman" w:cs="Times New Roman"/>
          <w:sz w:val="28"/>
          <w:szCs w:val="28"/>
        </w:rPr>
        <w:t>Барышкова</w:t>
      </w:r>
      <w:proofErr w:type="spellEnd"/>
      <w:r>
        <w:rPr>
          <w:rFonts w:ascii="Times New Roman" w:hAnsi="Times New Roman" w:cs="Times New Roman"/>
          <w:sz w:val="28"/>
          <w:szCs w:val="28"/>
        </w:rPr>
        <w:t xml:space="preserve">. Саратов, 2005. 156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w:t>
      </w:r>
    </w:p>
    <w:p w:rsidR="000A3EA1" w:rsidRDefault="000A3EA1" w:rsidP="000A3EA1">
      <w:pPr>
        <w:shd w:val="clear" w:color="auto" w:fill="FFFFFF"/>
        <w:spacing w:after="0" w:line="360" w:lineRule="auto"/>
        <w:ind w:firstLine="709"/>
        <w:jc w:val="both"/>
        <w:rPr>
          <w:rFonts w:ascii="Times New Roman" w:eastAsia="Calibri" w:hAnsi="Times New Roman" w:cs="Times New Roman"/>
          <w:sz w:val="28"/>
          <w:szCs w:val="28"/>
          <w:lang w:eastAsia="ru-RU"/>
        </w:rPr>
      </w:pPr>
    </w:p>
    <w:p w:rsidR="000A3EA1" w:rsidRDefault="000A3EA1" w:rsidP="000A3EA1">
      <w:pPr>
        <w:shd w:val="clear" w:color="auto" w:fill="FFFFFF"/>
        <w:spacing w:after="0" w:line="360" w:lineRule="auto"/>
        <w:ind w:firstLine="709"/>
        <w:jc w:val="both"/>
        <w:rPr>
          <w:rFonts w:ascii="Times New Roman" w:eastAsia="Calibri" w:hAnsi="Times New Roman" w:cs="Times New Roman"/>
          <w:sz w:val="28"/>
          <w:szCs w:val="28"/>
          <w:lang w:eastAsia="ru-RU"/>
        </w:rPr>
      </w:pPr>
    </w:p>
    <w:p w:rsidR="000A3EA1" w:rsidRDefault="000A3EA1" w:rsidP="002C585B">
      <w:pPr>
        <w:spacing w:before="100" w:beforeAutospacing="1" w:after="0" w:afterAutospacing="1" w:line="360" w:lineRule="auto"/>
        <w:jc w:val="both"/>
        <w:rPr>
          <w:rFonts w:ascii="Times New Roman" w:eastAsia="Times New Roman" w:hAnsi="Times New Roman" w:cs="Times New Roman"/>
          <w:color w:val="000000"/>
          <w:sz w:val="28"/>
          <w:szCs w:val="28"/>
          <w:lang w:eastAsia="ru-RU"/>
        </w:rPr>
      </w:pPr>
    </w:p>
    <w:p w:rsidR="000A3EA1" w:rsidRDefault="000A3EA1" w:rsidP="002C585B">
      <w:pPr>
        <w:spacing w:before="100" w:beforeAutospacing="1" w:after="0" w:afterAutospacing="1" w:line="360" w:lineRule="auto"/>
        <w:jc w:val="both"/>
        <w:rPr>
          <w:rFonts w:ascii="Times New Roman" w:eastAsia="Times New Roman" w:hAnsi="Times New Roman" w:cs="Times New Roman"/>
          <w:color w:val="000000"/>
          <w:sz w:val="28"/>
          <w:szCs w:val="28"/>
          <w:lang w:eastAsia="ru-RU"/>
        </w:rPr>
      </w:pPr>
    </w:p>
    <w:p w:rsidR="000A3EA1" w:rsidRPr="00312C58" w:rsidRDefault="000A3EA1" w:rsidP="00312C58">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br w:type="page"/>
      </w:r>
    </w:p>
    <w:p w:rsidR="002C585B" w:rsidRDefault="000A3EA1" w:rsidP="002C585B">
      <w:pPr>
        <w:spacing w:before="100" w:beforeAutospacing="1" w:after="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III</w:t>
      </w:r>
      <w:r w:rsidRPr="000A3EA1">
        <w:rPr>
          <w:rFonts w:ascii="Times New Roman" w:eastAsia="Times New Roman" w:hAnsi="Times New Roman" w:cs="Times New Roman"/>
          <w:color w:val="000000"/>
          <w:sz w:val="28"/>
          <w:szCs w:val="28"/>
          <w:lang w:eastAsia="ru-RU"/>
        </w:rPr>
        <w:t xml:space="preserve"> </w:t>
      </w:r>
      <w:r w:rsidR="002C585B" w:rsidRPr="002C585B">
        <w:rPr>
          <w:rFonts w:ascii="Times New Roman" w:eastAsia="Times New Roman" w:hAnsi="Times New Roman" w:cs="Times New Roman"/>
          <w:color w:val="000000"/>
          <w:sz w:val="28"/>
          <w:szCs w:val="28"/>
          <w:lang w:eastAsia="ru-RU"/>
        </w:rPr>
        <w:t>ПЛАН ВЫПУСКНОЙ КВАЛИФИКАЦИОННОЙ РАБОТЫ</w:t>
      </w:r>
    </w:p>
    <w:p w:rsidR="003C5F54" w:rsidRPr="000A3EA1" w:rsidRDefault="003C5F54" w:rsidP="003C5F54">
      <w:pPr>
        <w:spacing w:before="100" w:beforeAutospacing="1" w:after="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АНТИКОНКУРЕНТНЫЕ СОГЛАШЕНИЯ</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ОГЛАВЛЕНИЕ</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ВВЕДЕНИЕ</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I ОБЩИЕ ПОЛОЖЕНИЯ АНТИМОНОПОЛЬНОГО РЕГУЛИРОВАНИЯ</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numPr>
          <w:ilvl w:val="1"/>
          <w:numId w:val="1"/>
        </w:num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Понятие, цели и состав антимонопольного законодательства</w:t>
      </w:r>
    </w:p>
    <w:p w:rsidR="002C585B" w:rsidRPr="002C585B" w:rsidRDefault="002C585B" w:rsidP="002C585B">
      <w:pPr>
        <w:numPr>
          <w:ilvl w:val="1"/>
          <w:numId w:val="1"/>
        </w:num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Понятие и виды монополистической деятельности как запрещенного деяния</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II ПРАВОВАЯ ПРИРОДА АНТИКОНКУРЕНТНЫХ СОГЛАШЕНИЙ</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 xml:space="preserve">2.1    Понятие, признаки и виды </w:t>
      </w:r>
      <w:proofErr w:type="spellStart"/>
      <w:r w:rsidRPr="002C585B">
        <w:rPr>
          <w:rFonts w:ascii="Times New Roman" w:eastAsia="Times New Roman" w:hAnsi="Times New Roman" w:cs="Times New Roman"/>
          <w:color w:val="000000"/>
          <w:sz w:val="28"/>
          <w:szCs w:val="28"/>
          <w:lang w:eastAsia="ru-RU"/>
        </w:rPr>
        <w:t>антиконкурентных</w:t>
      </w:r>
      <w:proofErr w:type="spellEnd"/>
      <w:r w:rsidRPr="002C585B">
        <w:rPr>
          <w:rFonts w:ascii="Times New Roman" w:eastAsia="Times New Roman" w:hAnsi="Times New Roman" w:cs="Times New Roman"/>
          <w:color w:val="000000"/>
          <w:sz w:val="28"/>
          <w:szCs w:val="28"/>
          <w:lang w:eastAsia="ru-RU"/>
        </w:rPr>
        <w:t xml:space="preserve"> соглашений</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 xml:space="preserve">2.2    Горизонтальные </w:t>
      </w:r>
      <w:proofErr w:type="spellStart"/>
      <w:r w:rsidRPr="002C585B">
        <w:rPr>
          <w:rFonts w:ascii="Times New Roman" w:eastAsia="Times New Roman" w:hAnsi="Times New Roman" w:cs="Times New Roman"/>
          <w:color w:val="000000"/>
          <w:sz w:val="28"/>
          <w:szCs w:val="28"/>
          <w:lang w:eastAsia="ru-RU"/>
        </w:rPr>
        <w:t>антиконкурентные</w:t>
      </w:r>
      <w:proofErr w:type="spellEnd"/>
      <w:r w:rsidRPr="002C585B">
        <w:rPr>
          <w:rFonts w:ascii="Times New Roman" w:eastAsia="Times New Roman" w:hAnsi="Times New Roman" w:cs="Times New Roman"/>
          <w:color w:val="000000"/>
          <w:sz w:val="28"/>
          <w:szCs w:val="28"/>
          <w:lang w:eastAsia="ru-RU"/>
        </w:rPr>
        <w:t xml:space="preserve"> соглашения</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 xml:space="preserve">2.3    Вертикальные и иные </w:t>
      </w:r>
      <w:proofErr w:type="spellStart"/>
      <w:r w:rsidRPr="002C585B">
        <w:rPr>
          <w:rFonts w:ascii="Times New Roman" w:eastAsia="Times New Roman" w:hAnsi="Times New Roman" w:cs="Times New Roman"/>
          <w:color w:val="000000"/>
          <w:sz w:val="28"/>
          <w:szCs w:val="28"/>
          <w:lang w:eastAsia="ru-RU"/>
        </w:rPr>
        <w:t>антиконкурентные</w:t>
      </w:r>
      <w:proofErr w:type="spellEnd"/>
      <w:r w:rsidRPr="002C585B">
        <w:rPr>
          <w:rFonts w:ascii="Times New Roman" w:eastAsia="Times New Roman" w:hAnsi="Times New Roman" w:cs="Times New Roman"/>
          <w:color w:val="000000"/>
          <w:sz w:val="28"/>
          <w:szCs w:val="28"/>
          <w:lang w:eastAsia="ru-RU"/>
        </w:rPr>
        <w:t xml:space="preserve"> соглашения</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III ГОСУДАРСТВЕННЫЙ КОНТРОЛЬ И ОТВЕТСТВЕННОСТЬ ЗА СОВЕРШЕНИЕ АНТИКОНКУРЕНТНЫХ СОГЛАШЕНИЙ</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 xml:space="preserve">3.1 Выявление и пресечение </w:t>
      </w:r>
      <w:proofErr w:type="spellStart"/>
      <w:r w:rsidRPr="002C585B">
        <w:rPr>
          <w:rFonts w:ascii="Times New Roman" w:eastAsia="Times New Roman" w:hAnsi="Times New Roman" w:cs="Times New Roman"/>
          <w:color w:val="000000"/>
          <w:sz w:val="28"/>
          <w:szCs w:val="28"/>
          <w:lang w:eastAsia="ru-RU"/>
        </w:rPr>
        <w:t>антиконкурентных</w:t>
      </w:r>
      <w:proofErr w:type="spellEnd"/>
      <w:r w:rsidRPr="002C585B">
        <w:rPr>
          <w:rFonts w:ascii="Times New Roman" w:eastAsia="Times New Roman" w:hAnsi="Times New Roman" w:cs="Times New Roman"/>
          <w:color w:val="000000"/>
          <w:sz w:val="28"/>
          <w:szCs w:val="28"/>
          <w:lang w:eastAsia="ru-RU"/>
        </w:rPr>
        <w:t xml:space="preserve"> соглашений</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 xml:space="preserve">3.2 Ответственность за совершение </w:t>
      </w:r>
      <w:proofErr w:type="spellStart"/>
      <w:r w:rsidRPr="002C585B">
        <w:rPr>
          <w:rFonts w:ascii="Times New Roman" w:eastAsia="Times New Roman" w:hAnsi="Times New Roman" w:cs="Times New Roman"/>
          <w:color w:val="000000"/>
          <w:sz w:val="28"/>
          <w:szCs w:val="28"/>
          <w:lang w:eastAsia="ru-RU"/>
        </w:rPr>
        <w:t>антиконкурентных</w:t>
      </w:r>
      <w:proofErr w:type="spellEnd"/>
      <w:r w:rsidRPr="002C585B">
        <w:rPr>
          <w:rFonts w:ascii="Times New Roman" w:eastAsia="Times New Roman" w:hAnsi="Times New Roman" w:cs="Times New Roman"/>
          <w:color w:val="000000"/>
          <w:sz w:val="28"/>
          <w:szCs w:val="28"/>
          <w:lang w:eastAsia="ru-RU"/>
        </w:rPr>
        <w:t xml:space="preserve"> соглашений</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ЗАКЛЮЧЕНИЕ</w:t>
      </w: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p>
    <w:p w:rsidR="002C585B" w:rsidRPr="002C585B" w:rsidRDefault="002C585B" w:rsidP="002C585B">
      <w:pPr>
        <w:spacing w:after="0" w:line="240" w:lineRule="auto"/>
        <w:jc w:val="both"/>
        <w:rPr>
          <w:rFonts w:ascii="Times New Roman" w:eastAsia="Times New Roman" w:hAnsi="Times New Roman" w:cs="Times New Roman"/>
          <w:color w:val="000000"/>
          <w:sz w:val="28"/>
          <w:szCs w:val="28"/>
          <w:lang w:eastAsia="ru-RU"/>
        </w:rPr>
      </w:pPr>
      <w:r w:rsidRPr="002C585B">
        <w:rPr>
          <w:rFonts w:ascii="Times New Roman" w:eastAsia="Times New Roman" w:hAnsi="Times New Roman" w:cs="Times New Roman"/>
          <w:color w:val="000000"/>
          <w:sz w:val="28"/>
          <w:szCs w:val="28"/>
          <w:lang w:eastAsia="ru-RU"/>
        </w:rPr>
        <w:t>БИБЛИОГРАФИЧЕСКИЙ СПИСОК</w:t>
      </w:r>
    </w:p>
    <w:p w:rsidR="00980885" w:rsidRDefault="00980885"/>
    <w:sectPr w:rsidR="00980885" w:rsidSect="000A3EA1">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E8" w:rsidRDefault="00A679E8" w:rsidP="002C585B">
      <w:pPr>
        <w:spacing w:after="0" w:line="240" w:lineRule="auto"/>
      </w:pPr>
      <w:r>
        <w:separator/>
      </w:r>
    </w:p>
  </w:endnote>
  <w:endnote w:type="continuationSeparator" w:id="0">
    <w:p w:rsidR="00A679E8" w:rsidRDefault="00A679E8" w:rsidP="002C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E8" w:rsidRDefault="00A679E8" w:rsidP="002C585B">
      <w:pPr>
        <w:spacing w:after="0" w:line="240" w:lineRule="auto"/>
      </w:pPr>
      <w:r>
        <w:separator/>
      </w:r>
    </w:p>
  </w:footnote>
  <w:footnote w:type="continuationSeparator" w:id="0">
    <w:p w:rsidR="00A679E8" w:rsidRDefault="00A679E8" w:rsidP="002C585B">
      <w:pPr>
        <w:spacing w:after="0" w:line="240" w:lineRule="auto"/>
      </w:pPr>
      <w:r>
        <w:continuationSeparator/>
      </w:r>
    </w:p>
  </w:footnote>
  <w:footnote w:id="1">
    <w:p w:rsidR="002C585B" w:rsidRPr="00B57689" w:rsidRDefault="002C585B" w:rsidP="002C585B">
      <w:pPr>
        <w:pStyle w:val="a3"/>
        <w:jc w:val="both"/>
        <w:rPr>
          <w:sz w:val="24"/>
          <w:szCs w:val="24"/>
          <w:lang w:val="en-US"/>
        </w:rPr>
      </w:pPr>
      <w:r w:rsidRPr="00B57689">
        <w:rPr>
          <w:rStyle w:val="a5"/>
          <w:sz w:val="24"/>
          <w:szCs w:val="24"/>
        </w:rPr>
        <w:footnoteRef/>
      </w:r>
      <w:r w:rsidRPr="00B57689">
        <w:rPr>
          <w:sz w:val="24"/>
          <w:szCs w:val="24"/>
          <w:lang w:val="en-US"/>
        </w:rPr>
        <w:t xml:space="preserve"> Schumpeter J. Can Capitalism </w:t>
      </w:r>
      <w:proofErr w:type="gramStart"/>
      <w:r w:rsidRPr="00B57689">
        <w:rPr>
          <w:sz w:val="24"/>
          <w:szCs w:val="24"/>
          <w:lang w:val="en-US"/>
        </w:rPr>
        <w:t>Survive.</w:t>
      </w:r>
      <w:proofErr w:type="gramEnd"/>
      <w:r w:rsidRPr="00B57689">
        <w:rPr>
          <w:sz w:val="24"/>
          <w:szCs w:val="24"/>
          <w:lang w:val="en-US"/>
        </w:rPr>
        <w:t xml:space="preserve"> N.Y.</w:t>
      </w:r>
      <w:proofErr w:type="gramStart"/>
      <w:r w:rsidRPr="00B57689">
        <w:rPr>
          <w:sz w:val="24"/>
          <w:szCs w:val="24"/>
          <w:lang w:val="en-US"/>
        </w:rPr>
        <w:t>,1978</w:t>
      </w:r>
      <w:proofErr w:type="gramEnd"/>
      <w:r w:rsidRPr="00B57689">
        <w:rPr>
          <w:sz w:val="24"/>
          <w:szCs w:val="24"/>
          <w:lang w:val="en-US"/>
        </w:rPr>
        <w:t xml:space="preserve">. </w:t>
      </w:r>
      <w:proofErr w:type="gramStart"/>
      <w:r w:rsidRPr="00B57689">
        <w:rPr>
          <w:sz w:val="24"/>
          <w:szCs w:val="24"/>
          <w:lang w:val="en-US"/>
        </w:rPr>
        <w:t>P. 24.</w:t>
      </w:r>
      <w:proofErr w:type="gramEnd"/>
    </w:p>
  </w:footnote>
  <w:footnote w:id="2">
    <w:p w:rsidR="002C585B" w:rsidRPr="00B57689" w:rsidRDefault="002C585B" w:rsidP="002C585B">
      <w:pPr>
        <w:pStyle w:val="a3"/>
        <w:jc w:val="both"/>
        <w:rPr>
          <w:sz w:val="24"/>
          <w:szCs w:val="24"/>
          <w:lang w:val="en-US"/>
        </w:rPr>
      </w:pPr>
      <w:r w:rsidRPr="00B57689">
        <w:rPr>
          <w:rStyle w:val="a5"/>
          <w:sz w:val="24"/>
          <w:szCs w:val="24"/>
        </w:rPr>
        <w:footnoteRef/>
      </w:r>
      <w:r w:rsidRPr="00B57689">
        <w:rPr>
          <w:sz w:val="24"/>
          <w:szCs w:val="24"/>
          <w:lang w:val="en-US"/>
        </w:rPr>
        <w:t xml:space="preserve"> </w:t>
      </w:r>
      <w:proofErr w:type="spellStart"/>
      <w:proofErr w:type="gramStart"/>
      <w:r w:rsidRPr="00B57689">
        <w:rPr>
          <w:sz w:val="24"/>
          <w:szCs w:val="24"/>
          <w:lang w:val="en-US"/>
        </w:rPr>
        <w:t>Goyder</w:t>
      </w:r>
      <w:proofErr w:type="spellEnd"/>
      <w:r w:rsidRPr="00B57689">
        <w:rPr>
          <w:sz w:val="24"/>
          <w:szCs w:val="24"/>
          <w:lang w:val="en-US"/>
        </w:rPr>
        <w:t xml:space="preserve"> D. G. EC Competition Law.</w:t>
      </w:r>
      <w:proofErr w:type="gramEnd"/>
      <w:r w:rsidRPr="00B57689">
        <w:rPr>
          <w:sz w:val="24"/>
          <w:szCs w:val="24"/>
          <w:lang w:val="en-US"/>
        </w:rPr>
        <w:t xml:space="preserve"> </w:t>
      </w:r>
      <w:proofErr w:type="gramStart"/>
      <w:r w:rsidRPr="00B57689">
        <w:rPr>
          <w:sz w:val="24"/>
          <w:szCs w:val="24"/>
          <w:lang w:val="en-US"/>
        </w:rPr>
        <w:t>4</w:t>
      </w:r>
      <w:r w:rsidRPr="00B57689">
        <w:rPr>
          <w:sz w:val="24"/>
          <w:szCs w:val="24"/>
          <w:vertAlign w:val="superscript"/>
          <w:lang w:val="en-US"/>
        </w:rPr>
        <w:t>th</w:t>
      </w:r>
      <w:r w:rsidRPr="00B57689">
        <w:rPr>
          <w:sz w:val="24"/>
          <w:szCs w:val="24"/>
          <w:lang w:val="en-US"/>
        </w:rPr>
        <w:t xml:space="preserve"> ed. Oxford University Press, UK, 2003.P.9.</w:t>
      </w:r>
      <w:proofErr w:type="gramEnd"/>
    </w:p>
  </w:footnote>
  <w:footnote w:id="3">
    <w:p w:rsidR="002C585B" w:rsidRPr="000A3EA1" w:rsidRDefault="002C585B" w:rsidP="000A3EA1">
      <w:pPr>
        <w:spacing w:after="0" w:line="240" w:lineRule="auto"/>
        <w:jc w:val="both"/>
        <w:rPr>
          <w:rFonts w:ascii="Times New Roman" w:eastAsia="Times New Roman" w:hAnsi="Times New Roman" w:cs="Times New Roman"/>
          <w:sz w:val="24"/>
          <w:szCs w:val="24"/>
        </w:rPr>
      </w:pPr>
      <w:r w:rsidRPr="000A3EA1">
        <w:rPr>
          <w:rStyle w:val="a5"/>
          <w:rFonts w:ascii="Times New Roman" w:hAnsi="Times New Roman" w:cs="Times New Roman"/>
          <w:sz w:val="24"/>
          <w:szCs w:val="24"/>
        </w:rPr>
        <w:footnoteRef/>
      </w:r>
      <w:r w:rsidRPr="000A3EA1">
        <w:rPr>
          <w:rFonts w:ascii="Times New Roman" w:hAnsi="Times New Roman" w:cs="Times New Roman"/>
          <w:sz w:val="24"/>
          <w:szCs w:val="24"/>
        </w:rPr>
        <w:t xml:space="preserve"> </w:t>
      </w:r>
      <w:proofErr w:type="spellStart"/>
      <w:r w:rsidRPr="000A3EA1">
        <w:rPr>
          <w:rFonts w:ascii="Times New Roman" w:hAnsi="Times New Roman" w:cs="Times New Roman"/>
          <w:sz w:val="24"/>
          <w:szCs w:val="24"/>
        </w:rPr>
        <w:t>Тотьев</w:t>
      </w:r>
      <w:proofErr w:type="spellEnd"/>
      <w:r w:rsidRPr="000A3EA1">
        <w:rPr>
          <w:rFonts w:ascii="Times New Roman" w:hAnsi="Times New Roman" w:cs="Times New Roman"/>
          <w:sz w:val="24"/>
          <w:szCs w:val="24"/>
        </w:rPr>
        <w:t xml:space="preserve"> К.Ю. Понятие «конкуренция» в антимонопольном законодательстве // Хозяйство и право.  2011.  № 2.  С. 61.</w:t>
      </w:r>
    </w:p>
  </w:footnote>
  <w:footnote w:id="4">
    <w:p w:rsidR="002C585B" w:rsidRPr="002C585B" w:rsidRDefault="002C585B" w:rsidP="000A3EA1">
      <w:pPr>
        <w:pStyle w:val="a3"/>
        <w:rPr>
          <w:sz w:val="24"/>
          <w:szCs w:val="24"/>
          <w:lang w:val="en-US"/>
        </w:rPr>
      </w:pPr>
      <w:r w:rsidRPr="000A3EA1">
        <w:rPr>
          <w:rStyle w:val="a5"/>
          <w:sz w:val="24"/>
          <w:szCs w:val="24"/>
        </w:rPr>
        <w:footnoteRef/>
      </w:r>
      <w:r w:rsidRPr="000A3EA1">
        <w:rPr>
          <w:sz w:val="24"/>
          <w:szCs w:val="24"/>
        </w:rPr>
        <w:t xml:space="preserve"> Неуймин Ю.В. Соглашения и согласованные действия субъектов предпринимательства, запрещенные антимонопольным законодательством // Южно-Уральский юридический вестник.  </w:t>
      </w:r>
      <w:r w:rsidRPr="000A3EA1">
        <w:rPr>
          <w:sz w:val="24"/>
          <w:szCs w:val="24"/>
          <w:lang w:val="en-US"/>
        </w:rPr>
        <w:t xml:space="preserve">2000.  № 12/13 (5/6).  </w:t>
      </w:r>
      <w:r w:rsidRPr="000A3EA1">
        <w:rPr>
          <w:sz w:val="24"/>
          <w:szCs w:val="24"/>
        </w:rPr>
        <w:t>С</w:t>
      </w:r>
      <w:r w:rsidRPr="000A3EA1">
        <w:rPr>
          <w:sz w:val="24"/>
          <w:szCs w:val="24"/>
          <w:lang w:val="en-US"/>
        </w:rPr>
        <w:t>. 76.</w:t>
      </w:r>
    </w:p>
  </w:footnote>
  <w:footnote w:id="5">
    <w:p w:rsidR="002C585B" w:rsidRPr="00B57689" w:rsidRDefault="002C585B" w:rsidP="002C585B">
      <w:pPr>
        <w:pStyle w:val="a3"/>
        <w:rPr>
          <w:sz w:val="24"/>
          <w:szCs w:val="24"/>
          <w:lang w:val="en-US"/>
        </w:rPr>
      </w:pPr>
      <w:r w:rsidRPr="00B57689">
        <w:rPr>
          <w:rStyle w:val="a5"/>
          <w:sz w:val="24"/>
          <w:szCs w:val="24"/>
        </w:rPr>
        <w:footnoteRef/>
      </w:r>
      <w:r w:rsidRPr="00B57689">
        <w:rPr>
          <w:sz w:val="24"/>
          <w:szCs w:val="24"/>
          <w:lang w:val="en-US"/>
        </w:rPr>
        <w:t xml:space="preserve"> </w:t>
      </w:r>
      <w:proofErr w:type="gramStart"/>
      <w:r w:rsidRPr="00B57689">
        <w:rPr>
          <w:sz w:val="24"/>
          <w:szCs w:val="24"/>
          <w:lang w:val="en-US"/>
        </w:rPr>
        <w:t>Decision of Director General of Fair Trading No.</w:t>
      </w:r>
      <w:proofErr w:type="gramEnd"/>
      <w:r w:rsidRPr="00B57689">
        <w:rPr>
          <w:sz w:val="24"/>
          <w:szCs w:val="24"/>
          <w:lang w:val="en-US"/>
        </w:rPr>
        <w:t xml:space="preserve"> CA98/2/2003, Agreements between Hasbro U.K. Ltd, Argos Ltd and Littlewoods Ltd fixing the price of Hasbro toys and games, 19 February 2003, (Case CP/0480-01) // https://assets.digital.cabinet-office.gov.uk/media/555de4d340f0b666a2000168/hasbro3.pdf</w:t>
      </w:r>
    </w:p>
  </w:footnote>
  <w:footnote w:id="6">
    <w:p w:rsidR="002C585B" w:rsidRPr="00B57689" w:rsidRDefault="002C585B" w:rsidP="002C585B">
      <w:pPr>
        <w:pStyle w:val="a3"/>
        <w:jc w:val="both"/>
        <w:rPr>
          <w:sz w:val="24"/>
          <w:szCs w:val="24"/>
        </w:rPr>
      </w:pPr>
      <w:r w:rsidRPr="00B57689">
        <w:rPr>
          <w:rStyle w:val="a5"/>
          <w:sz w:val="24"/>
          <w:szCs w:val="24"/>
        </w:rPr>
        <w:footnoteRef/>
      </w:r>
      <w:r w:rsidRPr="00B57689">
        <w:rPr>
          <w:sz w:val="24"/>
          <w:szCs w:val="24"/>
        </w:rPr>
        <w:t xml:space="preserve"> Кодекс РФ об административных правонару</w:t>
      </w:r>
      <w:r w:rsidR="00E04D86">
        <w:rPr>
          <w:sz w:val="24"/>
          <w:szCs w:val="24"/>
        </w:rPr>
        <w:t>шениях (</w:t>
      </w:r>
      <w:proofErr w:type="spellStart"/>
      <w:r w:rsidR="00E04D86">
        <w:rPr>
          <w:sz w:val="24"/>
          <w:szCs w:val="24"/>
        </w:rPr>
        <w:t>КоАП</w:t>
      </w:r>
      <w:proofErr w:type="spellEnd"/>
      <w:r w:rsidR="00E04D86">
        <w:rPr>
          <w:sz w:val="24"/>
          <w:szCs w:val="24"/>
        </w:rPr>
        <w:t xml:space="preserve"> РФ) от 30.12.2001 № 195-ФЗ // Российская газета. </w:t>
      </w:r>
      <w:r w:rsidRPr="00B57689">
        <w:rPr>
          <w:sz w:val="24"/>
          <w:szCs w:val="24"/>
        </w:rPr>
        <w:t>31 декабря 2001 года.</w:t>
      </w:r>
      <w:r w:rsidR="00E04D86" w:rsidRPr="00E04D86">
        <w:rPr>
          <w:sz w:val="24"/>
          <w:szCs w:val="24"/>
        </w:rPr>
        <w:t xml:space="preserve"> </w:t>
      </w:r>
      <w:r w:rsidR="00E04D86">
        <w:rPr>
          <w:sz w:val="24"/>
          <w:szCs w:val="24"/>
        </w:rPr>
        <w:t>№ 256.</w:t>
      </w:r>
    </w:p>
  </w:footnote>
  <w:footnote w:id="7">
    <w:p w:rsidR="002C585B" w:rsidRPr="00B57689" w:rsidRDefault="002C585B" w:rsidP="002C585B">
      <w:pPr>
        <w:pStyle w:val="a3"/>
        <w:jc w:val="both"/>
        <w:rPr>
          <w:sz w:val="24"/>
          <w:szCs w:val="24"/>
        </w:rPr>
      </w:pPr>
      <w:r w:rsidRPr="00B57689">
        <w:rPr>
          <w:rStyle w:val="a5"/>
          <w:sz w:val="24"/>
          <w:szCs w:val="24"/>
        </w:rPr>
        <w:footnoteRef/>
      </w:r>
      <w:r w:rsidRPr="00B57689">
        <w:rPr>
          <w:sz w:val="24"/>
          <w:szCs w:val="24"/>
        </w:rPr>
        <w:t xml:space="preserve"> Кулиш А. В. Административная ответственность за нарушение антимонопольного законодательства/ Кулиш А. В. //</w:t>
      </w:r>
      <w:r w:rsidRPr="00B57689">
        <w:rPr>
          <w:color w:val="000000"/>
          <w:sz w:val="24"/>
          <w:szCs w:val="24"/>
          <w:shd w:val="clear" w:color="auto" w:fill="F5F5F5"/>
        </w:rPr>
        <w:t xml:space="preserve"> </w:t>
      </w:r>
      <w:r w:rsidRPr="00B57689">
        <w:rPr>
          <w:sz w:val="24"/>
          <w:szCs w:val="24"/>
        </w:rPr>
        <w:t>Известия Байкальского государственного университета, 2007. №</w:t>
      </w:r>
      <w:r w:rsidR="00E04D86">
        <w:rPr>
          <w:sz w:val="24"/>
          <w:szCs w:val="24"/>
        </w:rPr>
        <w:t xml:space="preserve"> </w:t>
      </w:r>
      <w:r w:rsidRPr="00B57689">
        <w:rPr>
          <w:sz w:val="24"/>
          <w:szCs w:val="24"/>
        </w:rPr>
        <w:t>6 С. 118</w:t>
      </w:r>
      <w:r w:rsidR="00E04D86">
        <w:rPr>
          <w:sz w:val="24"/>
          <w:szCs w:val="24"/>
        </w:rPr>
        <w:t>.</w:t>
      </w:r>
    </w:p>
  </w:footnote>
  <w:footnote w:id="8">
    <w:p w:rsidR="002C585B" w:rsidRPr="00B57689" w:rsidRDefault="002C585B" w:rsidP="002C585B">
      <w:pPr>
        <w:pStyle w:val="a3"/>
        <w:jc w:val="both"/>
        <w:rPr>
          <w:sz w:val="24"/>
          <w:szCs w:val="24"/>
        </w:rPr>
      </w:pPr>
      <w:r w:rsidRPr="00B57689">
        <w:rPr>
          <w:rStyle w:val="a5"/>
          <w:sz w:val="24"/>
          <w:szCs w:val="24"/>
        </w:rPr>
        <w:footnoteRef/>
      </w:r>
      <w:r w:rsidRPr="00B57689">
        <w:rPr>
          <w:sz w:val="24"/>
          <w:szCs w:val="24"/>
        </w:rPr>
        <w:t xml:space="preserve"> </w:t>
      </w:r>
      <w:r w:rsidRPr="00B57689">
        <w:rPr>
          <w:bCs/>
          <w:sz w:val="24"/>
          <w:szCs w:val="24"/>
        </w:rPr>
        <w:t>Постановление П</w:t>
      </w:r>
      <w:r w:rsidR="00E04D86">
        <w:rPr>
          <w:bCs/>
          <w:sz w:val="24"/>
          <w:szCs w:val="24"/>
        </w:rPr>
        <w:t>резидиума ВАС РФ от 21.12.2010 № 9966/10 по делу №</w:t>
      </w:r>
      <w:r w:rsidRPr="00B57689">
        <w:rPr>
          <w:bCs/>
          <w:sz w:val="24"/>
          <w:szCs w:val="24"/>
        </w:rPr>
        <w:t xml:space="preserve"> А27-12323/2009 // </w:t>
      </w:r>
      <w:r w:rsidR="000A3EA1">
        <w:rPr>
          <w:bCs/>
          <w:sz w:val="24"/>
          <w:szCs w:val="24"/>
        </w:rPr>
        <w:t xml:space="preserve">Вестник ВАС РФ. </w:t>
      </w:r>
      <w:r w:rsidRPr="00B57689">
        <w:rPr>
          <w:bCs/>
          <w:sz w:val="24"/>
          <w:szCs w:val="24"/>
        </w:rPr>
        <w:t>2011</w:t>
      </w:r>
      <w:r w:rsidR="000A3EA1">
        <w:rPr>
          <w:bCs/>
          <w:sz w:val="24"/>
          <w:szCs w:val="24"/>
        </w:rPr>
        <w:t xml:space="preserve">. № 4. </w:t>
      </w:r>
    </w:p>
  </w:footnote>
  <w:footnote w:id="9">
    <w:p w:rsidR="002C585B" w:rsidRPr="00B57689" w:rsidRDefault="002C585B" w:rsidP="002C585B">
      <w:pPr>
        <w:pStyle w:val="a3"/>
        <w:jc w:val="both"/>
        <w:rPr>
          <w:sz w:val="24"/>
          <w:szCs w:val="24"/>
        </w:rPr>
      </w:pPr>
      <w:r w:rsidRPr="00B57689">
        <w:rPr>
          <w:rStyle w:val="a5"/>
          <w:sz w:val="24"/>
          <w:szCs w:val="24"/>
        </w:rPr>
        <w:footnoteRef/>
      </w:r>
      <w:r w:rsidRPr="00B57689">
        <w:rPr>
          <w:sz w:val="24"/>
          <w:szCs w:val="24"/>
        </w:rPr>
        <w:t xml:space="preserve"> Научно-практический комментарий к Федеральному закону «О защите конкуренции» (постатейный) / отв. ред. И.Ю. Артемьев. МГИМО МИД России, ФАС России</w:t>
      </w:r>
      <w:r w:rsidR="00E04D86">
        <w:rPr>
          <w:sz w:val="24"/>
          <w:szCs w:val="24"/>
        </w:rPr>
        <w:t>.</w:t>
      </w:r>
      <w:r w:rsidRPr="00B57689">
        <w:rPr>
          <w:sz w:val="24"/>
          <w:szCs w:val="24"/>
        </w:rPr>
        <w:t xml:space="preserve"> М.: Статут, 2016. С. 225</w:t>
      </w:r>
      <w:r w:rsidR="00E04D86">
        <w:rPr>
          <w:sz w:val="24"/>
          <w:szCs w:val="24"/>
        </w:rPr>
        <w:t>.</w:t>
      </w:r>
    </w:p>
  </w:footnote>
  <w:footnote w:id="10">
    <w:p w:rsidR="002C585B" w:rsidRPr="00B57689" w:rsidRDefault="002C585B" w:rsidP="00E04D86">
      <w:pPr>
        <w:pStyle w:val="a3"/>
        <w:jc w:val="both"/>
        <w:rPr>
          <w:sz w:val="24"/>
          <w:szCs w:val="24"/>
        </w:rPr>
      </w:pPr>
      <w:r w:rsidRPr="00B57689">
        <w:rPr>
          <w:rStyle w:val="a5"/>
          <w:sz w:val="24"/>
          <w:szCs w:val="24"/>
        </w:rPr>
        <w:footnoteRef/>
      </w:r>
      <w:r w:rsidRPr="00B57689">
        <w:rPr>
          <w:sz w:val="24"/>
          <w:szCs w:val="24"/>
        </w:rPr>
        <w:t xml:space="preserve"> </w:t>
      </w:r>
      <w:r w:rsidRPr="00E04D86">
        <w:rPr>
          <w:sz w:val="24"/>
          <w:szCs w:val="24"/>
        </w:rPr>
        <w:t>Официальный сайт Федеральной антимонопольной службы Российской Федерации в сети И</w:t>
      </w:r>
      <w:r w:rsidR="00E04D86" w:rsidRPr="00E04D86">
        <w:rPr>
          <w:sz w:val="24"/>
          <w:szCs w:val="24"/>
        </w:rPr>
        <w:t xml:space="preserve">нтернет. [Электронный ресурс]  </w:t>
      </w:r>
      <w:r w:rsidRPr="00E04D86">
        <w:rPr>
          <w:sz w:val="24"/>
          <w:szCs w:val="24"/>
        </w:rPr>
        <w:t xml:space="preserve">URL: http://www.fas.gov.ru/ </w:t>
      </w:r>
      <w:proofErr w:type="spellStart"/>
      <w:r w:rsidRPr="00E04D86">
        <w:rPr>
          <w:sz w:val="24"/>
          <w:szCs w:val="24"/>
        </w:rPr>
        <w:t>news</w:t>
      </w:r>
      <w:proofErr w:type="spellEnd"/>
      <w:r w:rsidRPr="00E04D86">
        <w:rPr>
          <w:sz w:val="24"/>
          <w:szCs w:val="24"/>
        </w:rPr>
        <w:t>/n_22350.shtml</w:t>
      </w:r>
      <w:r w:rsidR="00E04D86" w:rsidRPr="00E04D86">
        <w:rPr>
          <w:sz w:val="24"/>
          <w:szCs w:val="24"/>
        </w:rPr>
        <w:t xml:space="preserve"> (дата обращения: 12.03.2018).</w:t>
      </w:r>
      <w:r w:rsidR="00E04D86">
        <w:rPr>
          <w:sz w:val="24"/>
          <w:szCs w:val="24"/>
        </w:rPr>
        <w:t xml:space="preserve"> </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3AA"/>
    <w:multiLevelType w:val="hybridMultilevel"/>
    <w:tmpl w:val="FA089A60"/>
    <w:lvl w:ilvl="0" w:tplc="4C64F852">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C740E0"/>
    <w:multiLevelType w:val="multilevel"/>
    <w:tmpl w:val="1F22A2AA"/>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22005F2"/>
    <w:multiLevelType w:val="hybridMultilevel"/>
    <w:tmpl w:val="8B2CB780"/>
    <w:lvl w:ilvl="0" w:tplc="EAE6FE4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81748B"/>
    <w:multiLevelType w:val="hybridMultilevel"/>
    <w:tmpl w:val="8C1EF9A0"/>
    <w:lvl w:ilvl="0" w:tplc="FC6AF218">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55B84DBE"/>
    <w:multiLevelType w:val="hybridMultilevel"/>
    <w:tmpl w:val="CEEA6DF4"/>
    <w:lvl w:ilvl="0" w:tplc="FC6AF218">
      <w:start w:val="1"/>
      <w:numFmt w:val="decimal"/>
      <w:lvlText w:val="%1"/>
      <w:lvlJc w:val="left"/>
      <w:pPr>
        <w:ind w:left="1353"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821CE4"/>
    <w:multiLevelType w:val="hybridMultilevel"/>
    <w:tmpl w:val="EFB8EDF8"/>
    <w:lvl w:ilvl="0" w:tplc="2BF4BEEC">
      <w:start w:val="1"/>
      <w:numFmt w:val="decimal"/>
      <w:lvlText w:val="%1"/>
      <w:lvlJc w:val="left"/>
      <w:pPr>
        <w:tabs>
          <w:tab w:val="num" w:pos="4943"/>
        </w:tabs>
        <w:ind w:left="4943" w:hanging="690"/>
      </w:pPr>
      <w:rPr>
        <w:rFonts w:hint="default"/>
      </w:rPr>
    </w:lvl>
    <w:lvl w:ilvl="1" w:tplc="04190019" w:tentative="1">
      <w:start w:val="1"/>
      <w:numFmt w:val="lowerLetter"/>
      <w:lvlText w:val="%2."/>
      <w:lvlJc w:val="left"/>
      <w:pPr>
        <w:tabs>
          <w:tab w:val="num" w:pos="5333"/>
        </w:tabs>
        <w:ind w:left="5333" w:hanging="360"/>
      </w:pPr>
    </w:lvl>
    <w:lvl w:ilvl="2" w:tplc="0419001B" w:tentative="1">
      <w:start w:val="1"/>
      <w:numFmt w:val="lowerRoman"/>
      <w:lvlText w:val="%3."/>
      <w:lvlJc w:val="right"/>
      <w:pPr>
        <w:tabs>
          <w:tab w:val="num" w:pos="6053"/>
        </w:tabs>
        <w:ind w:left="6053" w:hanging="180"/>
      </w:pPr>
    </w:lvl>
    <w:lvl w:ilvl="3" w:tplc="0419000F" w:tentative="1">
      <w:start w:val="1"/>
      <w:numFmt w:val="decimal"/>
      <w:lvlText w:val="%4."/>
      <w:lvlJc w:val="left"/>
      <w:pPr>
        <w:tabs>
          <w:tab w:val="num" w:pos="6773"/>
        </w:tabs>
        <w:ind w:left="6773" w:hanging="360"/>
      </w:pPr>
    </w:lvl>
    <w:lvl w:ilvl="4" w:tplc="04190019" w:tentative="1">
      <w:start w:val="1"/>
      <w:numFmt w:val="lowerLetter"/>
      <w:lvlText w:val="%5."/>
      <w:lvlJc w:val="left"/>
      <w:pPr>
        <w:tabs>
          <w:tab w:val="num" w:pos="7493"/>
        </w:tabs>
        <w:ind w:left="7493" w:hanging="360"/>
      </w:pPr>
    </w:lvl>
    <w:lvl w:ilvl="5" w:tplc="0419001B" w:tentative="1">
      <w:start w:val="1"/>
      <w:numFmt w:val="lowerRoman"/>
      <w:lvlText w:val="%6."/>
      <w:lvlJc w:val="right"/>
      <w:pPr>
        <w:tabs>
          <w:tab w:val="num" w:pos="8213"/>
        </w:tabs>
        <w:ind w:left="8213" w:hanging="180"/>
      </w:pPr>
    </w:lvl>
    <w:lvl w:ilvl="6" w:tplc="0419000F" w:tentative="1">
      <w:start w:val="1"/>
      <w:numFmt w:val="decimal"/>
      <w:lvlText w:val="%7."/>
      <w:lvlJc w:val="left"/>
      <w:pPr>
        <w:tabs>
          <w:tab w:val="num" w:pos="8933"/>
        </w:tabs>
        <w:ind w:left="8933" w:hanging="360"/>
      </w:pPr>
    </w:lvl>
    <w:lvl w:ilvl="7" w:tplc="04190019" w:tentative="1">
      <w:start w:val="1"/>
      <w:numFmt w:val="lowerLetter"/>
      <w:lvlText w:val="%8."/>
      <w:lvlJc w:val="left"/>
      <w:pPr>
        <w:tabs>
          <w:tab w:val="num" w:pos="9653"/>
        </w:tabs>
        <w:ind w:left="9653" w:hanging="360"/>
      </w:pPr>
    </w:lvl>
    <w:lvl w:ilvl="8" w:tplc="0419001B" w:tentative="1">
      <w:start w:val="1"/>
      <w:numFmt w:val="lowerRoman"/>
      <w:lvlText w:val="%9."/>
      <w:lvlJc w:val="right"/>
      <w:pPr>
        <w:tabs>
          <w:tab w:val="num" w:pos="10373"/>
        </w:tabs>
        <w:ind w:left="10373" w:hanging="180"/>
      </w:pPr>
    </w:lvl>
  </w:abstractNum>
  <w:abstractNum w:abstractNumId="6">
    <w:nsid w:val="6A004FF1"/>
    <w:multiLevelType w:val="hybridMultilevel"/>
    <w:tmpl w:val="ED0EBAF2"/>
    <w:lvl w:ilvl="0" w:tplc="FC6AF218">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6A02FA2"/>
    <w:multiLevelType w:val="hybridMultilevel"/>
    <w:tmpl w:val="7FE2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C585B"/>
    <w:rsid w:val="00030647"/>
    <w:rsid w:val="000721C0"/>
    <w:rsid w:val="000A3EA1"/>
    <w:rsid w:val="001B63D1"/>
    <w:rsid w:val="002C585B"/>
    <w:rsid w:val="00312C58"/>
    <w:rsid w:val="003C5F54"/>
    <w:rsid w:val="006605F8"/>
    <w:rsid w:val="00752822"/>
    <w:rsid w:val="00895C72"/>
    <w:rsid w:val="008F4746"/>
    <w:rsid w:val="00980885"/>
    <w:rsid w:val="00A622D8"/>
    <w:rsid w:val="00A679E8"/>
    <w:rsid w:val="00C2134F"/>
    <w:rsid w:val="00C4330A"/>
    <w:rsid w:val="00D4583E"/>
    <w:rsid w:val="00D54C08"/>
    <w:rsid w:val="00E04D86"/>
    <w:rsid w:val="00E94811"/>
    <w:rsid w:val="00F824B6"/>
    <w:rsid w:val="00FB2184"/>
    <w:rsid w:val="00FD2AFA"/>
    <w:rsid w:val="00FE38B9"/>
    <w:rsid w:val="00FE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C585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2C585B"/>
    <w:rPr>
      <w:rFonts w:ascii="Times New Roman" w:eastAsia="Times New Roman" w:hAnsi="Times New Roman" w:cs="Times New Roman"/>
      <w:sz w:val="20"/>
      <w:szCs w:val="20"/>
      <w:lang w:eastAsia="ru-RU"/>
    </w:rPr>
  </w:style>
  <w:style w:type="character" w:styleId="a5">
    <w:name w:val="footnote reference"/>
    <w:uiPriority w:val="99"/>
    <w:unhideWhenUsed/>
    <w:rsid w:val="002C585B"/>
    <w:rPr>
      <w:vertAlign w:val="superscript"/>
    </w:rPr>
  </w:style>
  <w:style w:type="character" w:styleId="a6">
    <w:name w:val="Hyperlink"/>
    <w:basedOn w:val="a0"/>
    <w:uiPriority w:val="99"/>
    <w:semiHidden/>
    <w:unhideWhenUsed/>
    <w:rsid w:val="000A3EA1"/>
    <w:rPr>
      <w:color w:val="0000FF" w:themeColor="hyperlink"/>
      <w:u w:val="single"/>
    </w:rPr>
  </w:style>
  <w:style w:type="paragraph" w:styleId="a7">
    <w:name w:val="List Paragraph"/>
    <w:basedOn w:val="a"/>
    <w:uiPriority w:val="34"/>
    <w:qFormat/>
    <w:rsid w:val="00E04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C585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2C585B"/>
    <w:rPr>
      <w:rFonts w:ascii="Times New Roman" w:eastAsia="Times New Roman" w:hAnsi="Times New Roman" w:cs="Times New Roman"/>
      <w:sz w:val="20"/>
      <w:szCs w:val="20"/>
      <w:lang w:eastAsia="ru-RU"/>
    </w:rPr>
  </w:style>
  <w:style w:type="character" w:styleId="a5">
    <w:name w:val="footnote reference"/>
    <w:uiPriority w:val="99"/>
    <w:unhideWhenUsed/>
    <w:rsid w:val="002C585B"/>
    <w:rPr>
      <w:vertAlign w:val="superscript"/>
    </w:rPr>
  </w:style>
  <w:style w:type="character" w:styleId="a6">
    <w:name w:val="Hyperlink"/>
    <w:basedOn w:val="a0"/>
    <w:uiPriority w:val="99"/>
    <w:semiHidden/>
    <w:unhideWhenUsed/>
    <w:rsid w:val="000A3EA1"/>
    <w:rPr>
      <w:color w:val="0000FF" w:themeColor="hyperlink"/>
      <w:u w:val="single"/>
    </w:rPr>
  </w:style>
  <w:style w:type="paragraph" w:styleId="a7">
    <w:name w:val="List Paragraph"/>
    <w:basedOn w:val="a"/>
    <w:uiPriority w:val="34"/>
    <w:qFormat/>
    <w:rsid w:val="00E04D86"/>
    <w:pPr>
      <w:ind w:left="720"/>
      <w:contextualSpacing/>
    </w:pPr>
  </w:style>
</w:styles>
</file>

<file path=word/webSettings.xml><?xml version="1.0" encoding="utf-8"?>
<w:webSettings xmlns:r="http://schemas.openxmlformats.org/officeDocument/2006/relationships" xmlns:w="http://schemas.openxmlformats.org/wordprocessingml/2006/main">
  <w:divs>
    <w:div w:id="743533021">
      <w:bodyDiv w:val="1"/>
      <w:marLeft w:val="0"/>
      <w:marRight w:val="0"/>
      <w:marTop w:val="0"/>
      <w:marBottom w:val="0"/>
      <w:divBdr>
        <w:top w:val="none" w:sz="0" w:space="0" w:color="auto"/>
        <w:left w:val="none" w:sz="0" w:space="0" w:color="auto"/>
        <w:bottom w:val="none" w:sz="0" w:space="0" w:color="auto"/>
        <w:right w:val="none" w:sz="0" w:space="0" w:color="auto"/>
      </w:divBdr>
    </w:div>
    <w:div w:id="14697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D2F9-CF70-460E-B226-CD843018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4568</Words>
  <Characters>26041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2019-11-06T09:11:00Z</dcterms:created>
  <dcterms:modified xsi:type="dcterms:W3CDTF">2019-11-06T09:11:00Z</dcterms:modified>
</cp:coreProperties>
</file>